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0EFA7" w14:textId="33669709" w:rsidR="002A5AEB" w:rsidRPr="009173AE" w:rsidRDefault="002A5AEB" w:rsidP="009173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13863" w:type="dxa"/>
        <w:tblInd w:w="-572" w:type="dxa"/>
        <w:tblLook w:val="04A0" w:firstRow="1" w:lastRow="0" w:firstColumn="1" w:lastColumn="0" w:noHBand="0" w:noVBand="1"/>
      </w:tblPr>
      <w:tblGrid>
        <w:gridCol w:w="2268"/>
        <w:gridCol w:w="3799"/>
        <w:gridCol w:w="7796"/>
      </w:tblGrid>
      <w:tr w:rsidR="00DE2720" w:rsidRPr="00111D61" w14:paraId="08E1F1C2" w14:textId="77777777" w:rsidTr="00DE2720">
        <w:tc>
          <w:tcPr>
            <w:tcW w:w="2268" w:type="dxa"/>
          </w:tcPr>
          <w:p w14:paraId="4B77497E" w14:textId="204F96D6" w:rsidR="00DE2720" w:rsidRPr="00111D61" w:rsidRDefault="00F318A9" w:rsidP="00111D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111D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Кеңес</w:t>
            </w:r>
            <w:proofErr w:type="spellEnd"/>
            <w:r w:rsidRPr="00111D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1D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отырысының</w:t>
            </w:r>
            <w:proofErr w:type="spellEnd"/>
            <w:r w:rsidRPr="00111D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1D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хаттамасы</w:t>
            </w:r>
            <w:proofErr w:type="spellEnd"/>
            <w:r w:rsidRPr="00111D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DE2720" w:rsidRPr="00111D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111D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және</w:t>
            </w:r>
            <w:proofErr w:type="spellEnd"/>
            <w:r w:rsidRPr="00111D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1D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күні</w:t>
            </w:r>
            <w:proofErr w:type="spellEnd"/>
          </w:p>
        </w:tc>
        <w:tc>
          <w:tcPr>
            <w:tcW w:w="3799" w:type="dxa"/>
          </w:tcPr>
          <w:p w14:paraId="3A4B4017" w14:textId="4F2CF382" w:rsidR="00DE2720" w:rsidRPr="00111D61" w:rsidRDefault="00F318A9" w:rsidP="00111D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1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Қамтылған</w:t>
            </w:r>
            <w:proofErr w:type="spellEnd"/>
            <w:r w:rsidRPr="00111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1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мәселелер</w:t>
            </w:r>
            <w:proofErr w:type="spellEnd"/>
          </w:p>
        </w:tc>
        <w:tc>
          <w:tcPr>
            <w:tcW w:w="7796" w:type="dxa"/>
          </w:tcPr>
          <w:p w14:paraId="73E6909D" w14:textId="26763421" w:rsidR="00DE2720" w:rsidRPr="00111D61" w:rsidRDefault="00F318A9" w:rsidP="00111D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11D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Ғылыми кеңестің шешімдері</w:t>
            </w:r>
          </w:p>
        </w:tc>
      </w:tr>
      <w:tr w:rsidR="00DE2720" w:rsidRPr="003D1D4E" w14:paraId="56C8FA4D" w14:textId="77777777" w:rsidTr="00DE2720">
        <w:tc>
          <w:tcPr>
            <w:tcW w:w="2268" w:type="dxa"/>
            <w:vMerge w:val="restart"/>
          </w:tcPr>
          <w:p w14:paraId="18F6C75A" w14:textId="388558B8" w:rsidR="00F318A9" w:rsidRPr="00111D61" w:rsidRDefault="00F318A9" w:rsidP="00111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1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ХАТТАМА № </w:t>
            </w:r>
            <w:r w:rsidR="00A21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14:paraId="3DC51A7F" w14:textId="1D4C11AD" w:rsidR="00DE2720" w:rsidRPr="00111D61" w:rsidRDefault="00A21387" w:rsidP="00111D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21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16 </w:t>
            </w:r>
            <w:proofErr w:type="spellStart"/>
            <w:r w:rsidRPr="00A21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қазан</w:t>
            </w:r>
            <w:proofErr w:type="spellEnd"/>
            <w:r w:rsidRPr="00A213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318A9" w:rsidRPr="00111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 ж.</w:t>
            </w:r>
          </w:p>
        </w:tc>
        <w:tc>
          <w:tcPr>
            <w:tcW w:w="3799" w:type="dxa"/>
          </w:tcPr>
          <w:p w14:paraId="3646966C" w14:textId="59CB8CD9" w:rsidR="009A2C92" w:rsidRPr="00111D61" w:rsidRDefault="009A2C92" w:rsidP="00111D61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</w:pPr>
            <w:r w:rsidRPr="00111D61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1</w:t>
            </w:r>
            <w:r w:rsidRPr="00111D61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. </w:t>
            </w:r>
            <w:r w:rsidR="005454B6" w:rsidRPr="005454B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Колледж мұғалімдерін аттестаттау жоспарын бекіту</w:t>
            </w:r>
          </w:p>
          <w:p w14:paraId="4D964B49" w14:textId="1AFF9C43" w:rsidR="00DE2720" w:rsidRPr="00111D61" w:rsidRDefault="009A2C92" w:rsidP="00111D6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111D61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Баяндамашы:</w:t>
            </w:r>
            <w:r w:rsidRPr="00111D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5454B6" w:rsidRPr="005454B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Смаилов Д.Н. колледж</w:t>
            </w:r>
            <w:r w:rsidR="005454B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111D61" w:rsidRPr="00111D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директоры</w:t>
            </w:r>
            <w:r w:rsidR="00806D3C" w:rsidRPr="00111D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7796" w:type="dxa"/>
          </w:tcPr>
          <w:p w14:paraId="71420D7E" w14:textId="634A4C64" w:rsidR="003D1D4E" w:rsidRPr="00111D61" w:rsidRDefault="009A2C92" w:rsidP="003D1D4E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1D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proofErr w:type="spellStart"/>
            <w:r w:rsidR="003D1D4E" w:rsidRPr="003D1D4E">
              <w:rPr>
                <w:rFonts w:ascii="Times New Roman" w:hAnsi="Times New Roman"/>
                <w:sz w:val="24"/>
                <w:szCs w:val="24"/>
                <w:lang w:val="ru-RU"/>
              </w:rPr>
              <w:t>Ақпараттық</w:t>
            </w:r>
            <w:proofErr w:type="spellEnd"/>
            <w:r w:rsidR="003D1D4E" w:rsidRPr="003D1D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D1D4E" w:rsidRPr="003D1D4E">
              <w:rPr>
                <w:rFonts w:ascii="Times New Roman" w:hAnsi="Times New Roman"/>
                <w:sz w:val="24"/>
                <w:szCs w:val="24"/>
                <w:lang w:val="ru-RU"/>
              </w:rPr>
              <w:t>технологиялар</w:t>
            </w:r>
            <w:proofErr w:type="spellEnd"/>
            <w:r w:rsidR="003D1D4E" w:rsidRPr="003D1D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D1D4E" w:rsidRPr="003D1D4E">
              <w:rPr>
                <w:rFonts w:ascii="Times New Roman" w:hAnsi="Times New Roman"/>
                <w:sz w:val="24"/>
                <w:szCs w:val="24"/>
                <w:lang w:val="ru-RU"/>
              </w:rPr>
              <w:t>колледжінің</w:t>
            </w:r>
            <w:proofErr w:type="spellEnd"/>
            <w:r w:rsidR="003D1D4E" w:rsidRPr="003D1D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2023-2024 </w:t>
            </w:r>
            <w:proofErr w:type="spellStart"/>
            <w:r w:rsidR="003D1D4E" w:rsidRPr="003D1D4E">
              <w:rPr>
                <w:rFonts w:ascii="Times New Roman" w:hAnsi="Times New Roman"/>
                <w:sz w:val="24"/>
                <w:szCs w:val="24"/>
                <w:lang w:val="ru-RU"/>
              </w:rPr>
              <w:t>оқу</w:t>
            </w:r>
            <w:proofErr w:type="spellEnd"/>
            <w:r w:rsidR="003D1D4E" w:rsidRPr="003D1D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D1D4E" w:rsidRPr="003D1D4E">
              <w:rPr>
                <w:rFonts w:ascii="Times New Roman" w:hAnsi="Times New Roman"/>
                <w:sz w:val="24"/>
                <w:szCs w:val="24"/>
                <w:lang w:val="ru-RU"/>
              </w:rPr>
              <w:t>жылына</w:t>
            </w:r>
            <w:proofErr w:type="spellEnd"/>
            <w:r w:rsidR="003D1D4E" w:rsidRPr="003D1D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D1D4E" w:rsidRPr="003D1D4E">
              <w:rPr>
                <w:rFonts w:ascii="Times New Roman" w:hAnsi="Times New Roman"/>
                <w:sz w:val="24"/>
                <w:szCs w:val="24"/>
                <w:lang w:val="ru-RU"/>
              </w:rPr>
              <w:t>арналған</w:t>
            </w:r>
            <w:proofErr w:type="spellEnd"/>
            <w:r w:rsidR="003D1D4E" w:rsidRPr="003D1D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D1D4E" w:rsidRPr="003D1D4E">
              <w:rPr>
                <w:rFonts w:ascii="Times New Roman" w:hAnsi="Times New Roman"/>
                <w:sz w:val="24"/>
                <w:szCs w:val="24"/>
                <w:lang w:val="ru-RU"/>
              </w:rPr>
              <w:t>мұғалімдерді</w:t>
            </w:r>
            <w:proofErr w:type="spellEnd"/>
            <w:r w:rsidR="003D1D4E" w:rsidRPr="003D1D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D1D4E" w:rsidRPr="003D1D4E">
              <w:rPr>
                <w:rFonts w:ascii="Times New Roman" w:hAnsi="Times New Roman"/>
                <w:sz w:val="24"/>
                <w:szCs w:val="24"/>
                <w:lang w:val="ru-RU"/>
              </w:rPr>
              <w:t>аттестаттау</w:t>
            </w:r>
            <w:proofErr w:type="spellEnd"/>
            <w:r w:rsidR="003D1D4E" w:rsidRPr="003D1D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D1D4E" w:rsidRPr="003D1D4E">
              <w:rPr>
                <w:rFonts w:ascii="Times New Roman" w:hAnsi="Times New Roman"/>
                <w:sz w:val="24"/>
                <w:szCs w:val="24"/>
                <w:lang w:val="ru-RU"/>
              </w:rPr>
              <w:t>жоспары</w:t>
            </w:r>
            <w:proofErr w:type="spellEnd"/>
            <w:r w:rsidR="003D1D4E" w:rsidRPr="003D1D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1-қосымшаға </w:t>
            </w:r>
            <w:proofErr w:type="spellStart"/>
            <w:r w:rsidR="003D1D4E" w:rsidRPr="003D1D4E">
              <w:rPr>
                <w:rFonts w:ascii="Times New Roman" w:hAnsi="Times New Roman"/>
                <w:sz w:val="24"/>
                <w:szCs w:val="24"/>
                <w:lang w:val="ru-RU"/>
              </w:rPr>
              <w:t>сәйкес</w:t>
            </w:r>
            <w:proofErr w:type="spellEnd"/>
            <w:r w:rsidR="003D1D4E" w:rsidRPr="003D1D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бекітілсін.</w:t>
            </w:r>
            <w:r w:rsidRPr="00111D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</w:p>
          <w:p w14:paraId="19D2FE7F" w14:textId="07EEBB6B" w:rsidR="00DE2720" w:rsidRPr="00111D61" w:rsidRDefault="00DE2720" w:rsidP="00111D6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2720" w:rsidRPr="00A93C26" w14:paraId="06E0AB74" w14:textId="77777777" w:rsidTr="00DE2720">
        <w:tc>
          <w:tcPr>
            <w:tcW w:w="2268" w:type="dxa"/>
            <w:vMerge/>
          </w:tcPr>
          <w:p w14:paraId="64EEC9D0" w14:textId="5685E1DC" w:rsidR="00DE2720" w:rsidRPr="00111D61" w:rsidRDefault="00DE2720" w:rsidP="00111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9" w:type="dxa"/>
          </w:tcPr>
          <w:p w14:paraId="60FCE930" w14:textId="3B7DC753" w:rsidR="009A2C92" w:rsidRPr="003D1D4E" w:rsidRDefault="009A2C92" w:rsidP="00111D61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</w:pPr>
            <w:r w:rsidRPr="003D1D4E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2. </w:t>
            </w:r>
            <w:r w:rsidR="005454B6" w:rsidRPr="003D1D4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Astana IT университетінде білім беру бағдарламаларында студенттердің тілдік құзыреттілігін қалыптастыру: жағдайы, мәселелері және шешу жолдары</w:t>
            </w:r>
          </w:p>
          <w:p w14:paraId="00610639" w14:textId="417EC79B" w:rsidR="00DE2720" w:rsidRPr="003D1D4E" w:rsidRDefault="009A2C92" w:rsidP="00111D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D4E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Баяндамашы: </w:t>
            </w:r>
            <w:proofErr w:type="spellStart"/>
            <w:r w:rsidR="005454B6" w:rsidRPr="003D1D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Тлешова</w:t>
            </w:r>
            <w:proofErr w:type="spellEnd"/>
            <w:r w:rsidR="005454B6" w:rsidRPr="003D1D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Ж.К., </w:t>
            </w:r>
            <w:proofErr w:type="spellStart"/>
            <w:r w:rsidR="005454B6" w:rsidRPr="003D1D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Жалпы</w:t>
            </w:r>
            <w:proofErr w:type="spellEnd"/>
            <w:r w:rsidR="005454B6" w:rsidRPr="003D1D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454B6" w:rsidRPr="003D1D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білім</w:t>
            </w:r>
            <w:proofErr w:type="spellEnd"/>
            <w:r w:rsidR="005454B6" w:rsidRPr="003D1D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беру </w:t>
            </w:r>
            <w:proofErr w:type="spellStart"/>
            <w:r w:rsidR="005454B6" w:rsidRPr="003D1D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пәндер</w:t>
            </w:r>
            <w:proofErr w:type="spellEnd"/>
            <w:r w:rsidR="005454B6" w:rsidRPr="003D1D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454B6" w:rsidRPr="003D1D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департаментінің</w:t>
            </w:r>
            <w:proofErr w:type="spellEnd"/>
            <w:r w:rsidR="005454B6" w:rsidRPr="003D1D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директоры</w:t>
            </w:r>
          </w:p>
        </w:tc>
        <w:tc>
          <w:tcPr>
            <w:tcW w:w="7796" w:type="dxa"/>
          </w:tcPr>
          <w:p w14:paraId="27FF1970" w14:textId="77777777" w:rsidR="003D1D4E" w:rsidRDefault="003D1D4E" w:rsidP="003D1D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</w:t>
            </w:r>
            <w:r w:rsidR="00486FC8" w:rsidRPr="003D1D4E">
              <w:rPr>
                <w:rFonts w:ascii="Times New Roman" w:hAnsi="Times New Roman"/>
                <w:sz w:val="24"/>
                <w:szCs w:val="24"/>
                <w:lang w:val="kk-KZ"/>
              </w:rPr>
              <w:t>Ақпарат назарға алынсын</w:t>
            </w:r>
            <w:r w:rsidR="009A2C92" w:rsidRPr="003D1D4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  <w:r w:rsidRPr="003D1D4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14:paraId="0A13F839" w14:textId="5E9A3A41" w:rsidR="003D1D4E" w:rsidRDefault="003D1D4E" w:rsidP="003D1D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</w:t>
            </w:r>
            <w:r w:rsidRPr="003D1D4E">
              <w:rPr>
                <w:rFonts w:ascii="Times New Roman" w:hAnsi="Times New Roman"/>
                <w:sz w:val="24"/>
                <w:szCs w:val="24"/>
                <w:lang w:val="kk-KZ"/>
              </w:rPr>
              <w:t>Жалпы білім беру пәндер департамент деканатпен бірлесіп неміс және қытай тілдерінің қосымша пәндер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Pr="003D1D4E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ң</w:t>
            </w:r>
            <w:r w:rsidRPr="003D1D4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оқу нәтижелерін білім беру бағдарламаларына және GPA енгізу бойынша ұсыныстар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жасасын</w:t>
            </w:r>
            <w:r w:rsidRPr="003D1D4E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14:paraId="53FD021F" w14:textId="1D788C77" w:rsidR="008634E3" w:rsidRPr="008634E3" w:rsidRDefault="008634E3" w:rsidP="008634E3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8634E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Жауаптылар: </w:t>
            </w:r>
            <w:r w:rsidRPr="008634E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Жалпы білім беру пәндер департамент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 xml:space="preserve">і, </w:t>
            </w:r>
            <w:r w:rsidRPr="008634E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деканат</w:t>
            </w:r>
          </w:p>
          <w:p w14:paraId="085BE574" w14:textId="02AF150A" w:rsidR="008634E3" w:rsidRPr="003D1D4E" w:rsidRDefault="008634E3" w:rsidP="008634E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34E3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Мерзімі: 2023 жылдың 10 қарашасына дейін</w:t>
            </w:r>
            <w:r w:rsidRPr="008634E3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14:paraId="3B2645ED" w14:textId="63BF5AB1" w:rsidR="003D1D4E" w:rsidRPr="008634E3" w:rsidRDefault="003D1D4E" w:rsidP="003D1D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34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</w:t>
            </w:r>
            <w:r w:rsidR="008634E3" w:rsidRPr="008634E3">
              <w:rPr>
                <w:rFonts w:ascii="Times New Roman" w:hAnsi="Times New Roman"/>
                <w:sz w:val="24"/>
                <w:szCs w:val="24"/>
                <w:lang w:val="kk-KZ"/>
              </w:rPr>
              <w:t>Білім берудің алдыңғы деңгейлерінде және басқа да формалды және бейресми білім беру ұйымдарында және студенттер қызметінің басқа түрлерінде студенттер алған тілдік пәндер бойынша оқу нәтижелерін қайта с</w:t>
            </w:r>
            <w:r w:rsidR="008634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анау </w:t>
            </w:r>
            <w:r w:rsidR="008634E3" w:rsidRPr="008634E3">
              <w:rPr>
                <w:rFonts w:ascii="Times New Roman" w:hAnsi="Times New Roman"/>
                <w:sz w:val="24"/>
                <w:szCs w:val="24"/>
                <w:lang w:val="kk-KZ"/>
              </w:rPr>
              <w:t>принциптері мен тәсілдерін қарастыр</w:t>
            </w:r>
            <w:r w:rsidR="008634E3"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Pr="008634E3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14:paraId="465556CF" w14:textId="45537C12" w:rsidR="003D1D4E" w:rsidRPr="003D1D4E" w:rsidRDefault="003D1D4E" w:rsidP="003D1D4E">
            <w:pPr>
              <w:pStyle w:val="1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proofErr w:type="spellStart"/>
            <w:r w:rsidRPr="003D1D4E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Жауаптылар</w:t>
            </w:r>
            <w:proofErr w:type="spellEnd"/>
            <w:r w:rsidRPr="003D1D4E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: </w:t>
            </w:r>
            <w:r w:rsidR="008634E3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БББ </w:t>
            </w:r>
            <w:proofErr w:type="spellStart"/>
            <w:r w:rsidR="008634E3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департаменттер</w:t>
            </w:r>
            <w:proofErr w:type="spellEnd"/>
            <w:r w:rsidR="008634E3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, деканат, </w:t>
            </w:r>
            <w:proofErr w:type="spellStart"/>
            <w:r w:rsidR="008634E3" w:rsidRPr="008634E3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академиялық</w:t>
            </w:r>
            <w:proofErr w:type="spellEnd"/>
            <w:r w:rsidR="008634E3" w:rsidRPr="008634E3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8634E3" w:rsidRPr="008634E3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департамент</w:t>
            </w:r>
            <w:r w:rsidRPr="003D1D4E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.</w:t>
            </w:r>
          </w:p>
          <w:p w14:paraId="52F02880" w14:textId="5E93EA7B" w:rsidR="003D1D4E" w:rsidRPr="003D1D4E" w:rsidRDefault="003D1D4E" w:rsidP="003D1D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D1D4E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Мерзімі</w:t>
            </w:r>
            <w:proofErr w:type="spellEnd"/>
            <w:r w:rsidRPr="003D1D4E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: 2023 </w:t>
            </w:r>
            <w:proofErr w:type="spellStart"/>
            <w:r w:rsidRPr="003D1D4E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жылдың</w:t>
            </w:r>
            <w:proofErr w:type="spellEnd"/>
            <w:r w:rsidRPr="003D1D4E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8634E3" w:rsidRPr="008634E3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10 </w:t>
            </w:r>
            <w:proofErr w:type="spellStart"/>
            <w:r w:rsidR="008634E3" w:rsidRPr="008634E3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қарашасына</w:t>
            </w:r>
            <w:proofErr w:type="spellEnd"/>
            <w:r w:rsidR="008634E3" w:rsidRPr="008634E3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34E3" w:rsidRPr="008634E3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дейін</w:t>
            </w:r>
            <w:proofErr w:type="spellEnd"/>
            <w:r w:rsidRPr="003D1D4E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.</w:t>
            </w:r>
          </w:p>
          <w:p w14:paraId="624EA684" w14:textId="42856A7C" w:rsidR="003D1D4E" w:rsidRPr="003D1D4E" w:rsidRDefault="003D1D4E" w:rsidP="003D1D4E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proofErr w:type="spellStart"/>
            <w:r w:rsidR="008634E3" w:rsidRPr="0086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Студенттердің</w:t>
            </w:r>
            <w:proofErr w:type="spellEnd"/>
            <w:r w:rsidR="008634E3" w:rsidRPr="0086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34E3" w:rsidRPr="0086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тілдік</w:t>
            </w:r>
            <w:proofErr w:type="spellEnd"/>
            <w:r w:rsidR="008634E3" w:rsidRPr="0086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34E3" w:rsidRPr="0086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құзыреттілігі</w:t>
            </w:r>
            <w:proofErr w:type="spellEnd"/>
            <w:r w:rsidR="008634E3" w:rsidRPr="0086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34E3" w:rsidRPr="0086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мәселелері</w:t>
            </w:r>
            <w:proofErr w:type="spellEnd"/>
            <w:r w:rsidR="008634E3" w:rsidRPr="0086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34E3" w:rsidRPr="0086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бойынша</w:t>
            </w:r>
            <w:proofErr w:type="spellEnd"/>
            <w:r w:rsidR="008634E3" w:rsidRPr="0086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34E3" w:rsidRPr="0086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университеттің</w:t>
            </w:r>
            <w:proofErr w:type="spellEnd"/>
            <w:r w:rsidR="008634E3" w:rsidRPr="0086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34E3" w:rsidRPr="0086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профессорлық-оқытушылық</w:t>
            </w:r>
            <w:proofErr w:type="spellEnd"/>
            <w:r w:rsidR="008634E3" w:rsidRPr="0086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34E3" w:rsidRPr="0086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құрамы</w:t>
            </w:r>
            <w:proofErr w:type="spellEnd"/>
            <w:r w:rsidR="008634E3" w:rsidRPr="0086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34E3" w:rsidRPr="0086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арасында</w:t>
            </w:r>
            <w:proofErr w:type="spellEnd"/>
            <w:r w:rsidR="008634E3" w:rsidRPr="0086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34E3" w:rsidRPr="0086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социологиялық</w:t>
            </w:r>
            <w:proofErr w:type="spellEnd"/>
            <w:r w:rsidR="008634E3" w:rsidRPr="0086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34E3" w:rsidRPr="0086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сауалнама</w:t>
            </w:r>
            <w:proofErr w:type="spellEnd"/>
            <w:r w:rsidR="008634E3" w:rsidRPr="0086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34E3" w:rsidRPr="0086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жүргіз</w:t>
            </w:r>
            <w:r w:rsidR="0086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ілсін</w:t>
            </w:r>
            <w:proofErr w:type="spellEnd"/>
            <w:r w:rsidRPr="003D1D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7E5704FE" w14:textId="2A407533" w:rsidR="003D1D4E" w:rsidRPr="003D1D4E" w:rsidRDefault="003D1D4E" w:rsidP="003D1D4E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3D1D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Жауаптылар</w:t>
            </w:r>
            <w:proofErr w:type="spellEnd"/>
            <w:r w:rsidRPr="003D1D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: </w:t>
            </w:r>
            <w:proofErr w:type="spellStart"/>
            <w:r w:rsidR="008634E3" w:rsidRPr="008634E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Сапаны</w:t>
            </w:r>
            <w:proofErr w:type="spellEnd"/>
            <w:r w:rsidR="008634E3" w:rsidRPr="008634E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34E3" w:rsidRPr="008634E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қамтамасыз</w:t>
            </w:r>
            <w:proofErr w:type="spellEnd"/>
            <w:r w:rsidR="008634E3" w:rsidRPr="008634E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34E3" w:rsidRPr="008634E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ету</w:t>
            </w:r>
            <w:proofErr w:type="spellEnd"/>
            <w:r w:rsidR="008634E3" w:rsidRPr="008634E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34E3" w:rsidRPr="008634E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департаменті</w:t>
            </w:r>
            <w:proofErr w:type="spellEnd"/>
          </w:p>
          <w:p w14:paraId="2538576E" w14:textId="27071D5C" w:rsidR="00DE2720" w:rsidRPr="008634E3" w:rsidRDefault="003D1D4E" w:rsidP="008634E3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proofErr w:type="spellStart"/>
            <w:r w:rsidRPr="003D1D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Мерзімі</w:t>
            </w:r>
            <w:proofErr w:type="spellEnd"/>
            <w:r w:rsidRPr="003D1D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: </w:t>
            </w:r>
            <w:r w:rsidR="008634E3" w:rsidRPr="008634E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2023 </w:t>
            </w:r>
            <w:proofErr w:type="spellStart"/>
            <w:r w:rsidR="008634E3" w:rsidRPr="008634E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жылдың</w:t>
            </w:r>
            <w:proofErr w:type="spellEnd"/>
            <w:r w:rsidR="008634E3" w:rsidRPr="008634E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30 </w:t>
            </w:r>
            <w:proofErr w:type="spellStart"/>
            <w:r w:rsidR="008634E3" w:rsidRPr="008634E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қарашасына</w:t>
            </w:r>
            <w:proofErr w:type="spellEnd"/>
            <w:r w:rsidR="008634E3" w:rsidRPr="008634E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34E3" w:rsidRPr="008634E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дейін</w:t>
            </w:r>
            <w:proofErr w:type="spellEnd"/>
            <w:r w:rsidRPr="003D1D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D1D4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DE2720" w:rsidRPr="008634E3" w14:paraId="1D784A61" w14:textId="77777777" w:rsidTr="00DE2720">
        <w:tc>
          <w:tcPr>
            <w:tcW w:w="2268" w:type="dxa"/>
            <w:vMerge/>
          </w:tcPr>
          <w:p w14:paraId="23E31A81" w14:textId="77777777" w:rsidR="00DE2720" w:rsidRPr="00A93C26" w:rsidRDefault="00DE2720" w:rsidP="00111D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99" w:type="dxa"/>
          </w:tcPr>
          <w:p w14:paraId="0D17CA33" w14:textId="0B54979C" w:rsidR="009A2C92" w:rsidRPr="00111D61" w:rsidRDefault="009A2C92" w:rsidP="00111D61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</w:pPr>
            <w:r w:rsidRPr="00111D61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3. </w:t>
            </w:r>
            <w:r w:rsidR="005454B6" w:rsidRPr="005454B6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Оқу процесін ақпараттық-техникалық қамтамасыз ету</w:t>
            </w:r>
          </w:p>
          <w:p w14:paraId="5A7C9337" w14:textId="0A25C3C5" w:rsidR="00DE2720" w:rsidRPr="00111D61" w:rsidRDefault="009A2C92" w:rsidP="00111D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D61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Баяндамашы: </w:t>
            </w:r>
            <w:r w:rsidR="005454B6" w:rsidRPr="005454B6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Нурахов Е.Е., Ақпараттық технологиялар департаментінің директоры</w:t>
            </w:r>
          </w:p>
        </w:tc>
        <w:tc>
          <w:tcPr>
            <w:tcW w:w="7796" w:type="dxa"/>
          </w:tcPr>
          <w:p w14:paraId="131046C8" w14:textId="6B422B9F" w:rsidR="00111D61" w:rsidRDefault="009A2C92" w:rsidP="00111D61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111D6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1. </w:t>
            </w:r>
            <w:r w:rsidR="00486FC8" w:rsidRPr="00486FC8"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Ақпарат назарға алынсын</w:t>
            </w:r>
          </w:p>
          <w:p w14:paraId="7E4BB3B2" w14:textId="4FD989D8" w:rsidR="008634E3" w:rsidRDefault="008634E3" w:rsidP="00111D61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8634E3"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2. Ақпараттық технологиялар департаменті шаралар қабылдасын</w:t>
            </w:r>
          </w:p>
          <w:p w14:paraId="2AE10A78" w14:textId="77777777" w:rsidR="008634E3" w:rsidRPr="008634E3" w:rsidRDefault="008634E3" w:rsidP="008634E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8634E3"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- оқу үрдісін үздіксіз қамтамасыз ету;</w:t>
            </w:r>
          </w:p>
          <w:p w14:paraId="78288257" w14:textId="4787FB95" w:rsidR="00DE2720" w:rsidRPr="00111D61" w:rsidRDefault="008634E3" w:rsidP="008634E3">
            <w:pPr>
              <w:pStyle w:val="HTML"/>
              <w:shd w:val="clear" w:color="auto" w:fill="F8F9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34E3"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- оқу ғимараты мен жатақханадағы бейнекамералардың жазылуын қамтамасыз ету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.</w:t>
            </w:r>
          </w:p>
        </w:tc>
      </w:tr>
    </w:tbl>
    <w:p w14:paraId="01BD050C" w14:textId="77777777" w:rsidR="002A5AEB" w:rsidRPr="00806D3C" w:rsidRDefault="002A5AEB" w:rsidP="009173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2A5AEB" w:rsidRPr="00806D3C" w:rsidSect="00E033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4492"/>
    <w:multiLevelType w:val="hybridMultilevel"/>
    <w:tmpl w:val="44B8A2E0"/>
    <w:lvl w:ilvl="0" w:tplc="813EA7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16C1A0F"/>
    <w:multiLevelType w:val="hybridMultilevel"/>
    <w:tmpl w:val="EBAEF7E0"/>
    <w:lvl w:ilvl="0" w:tplc="38DA5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937B35"/>
    <w:multiLevelType w:val="hybridMultilevel"/>
    <w:tmpl w:val="174C44B2"/>
    <w:lvl w:ilvl="0" w:tplc="96F80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FA7726"/>
    <w:multiLevelType w:val="hybridMultilevel"/>
    <w:tmpl w:val="9BF47888"/>
    <w:lvl w:ilvl="0" w:tplc="71987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1C1B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98CA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96EE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F80A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18C8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B88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A5F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C8C7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315F21"/>
    <w:multiLevelType w:val="hybridMultilevel"/>
    <w:tmpl w:val="8EE6B51A"/>
    <w:lvl w:ilvl="0" w:tplc="6332D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FD4539"/>
    <w:multiLevelType w:val="hybridMultilevel"/>
    <w:tmpl w:val="01A098AE"/>
    <w:lvl w:ilvl="0" w:tplc="47304BC4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10F68BC"/>
    <w:multiLevelType w:val="hybridMultilevel"/>
    <w:tmpl w:val="F6FCE36E"/>
    <w:lvl w:ilvl="0" w:tplc="1CDEDB9E">
      <w:start w:val="1"/>
      <w:numFmt w:val="decimal"/>
      <w:lvlText w:val="%1."/>
      <w:lvlJc w:val="left"/>
      <w:pPr>
        <w:ind w:left="927" w:hanging="360"/>
      </w:pPr>
      <w:rPr>
        <w:color w:val="201F1E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9E02C69"/>
    <w:multiLevelType w:val="hybridMultilevel"/>
    <w:tmpl w:val="9C365C1E"/>
    <w:lvl w:ilvl="0" w:tplc="7A686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E2A10"/>
    <w:multiLevelType w:val="hybridMultilevel"/>
    <w:tmpl w:val="5AFC0F62"/>
    <w:lvl w:ilvl="0" w:tplc="8236C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32523585">
    <w:abstractNumId w:val="2"/>
  </w:num>
  <w:num w:numId="2" w16cid:durableId="474180651">
    <w:abstractNumId w:val="0"/>
  </w:num>
  <w:num w:numId="3" w16cid:durableId="14265403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6142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5127641">
    <w:abstractNumId w:val="1"/>
  </w:num>
  <w:num w:numId="6" w16cid:durableId="347827863">
    <w:abstractNumId w:val="8"/>
  </w:num>
  <w:num w:numId="7" w16cid:durableId="1128277448">
    <w:abstractNumId w:val="7"/>
  </w:num>
  <w:num w:numId="8" w16cid:durableId="2038657135">
    <w:abstractNumId w:val="3"/>
  </w:num>
  <w:num w:numId="9" w16cid:durableId="4136227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429230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14"/>
    <w:rsid w:val="0007604F"/>
    <w:rsid w:val="000872AF"/>
    <w:rsid w:val="000B760A"/>
    <w:rsid w:val="000E45DA"/>
    <w:rsid w:val="00111D61"/>
    <w:rsid w:val="00125AE5"/>
    <w:rsid w:val="00130D29"/>
    <w:rsid w:val="002256CA"/>
    <w:rsid w:val="002A5AEB"/>
    <w:rsid w:val="002B7677"/>
    <w:rsid w:val="002F284F"/>
    <w:rsid w:val="00335EDF"/>
    <w:rsid w:val="00355B14"/>
    <w:rsid w:val="00393B42"/>
    <w:rsid w:val="003D1D4E"/>
    <w:rsid w:val="00457387"/>
    <w:rsid w:val="00486FC8"/>
    <w:rsid w:val="00494B2C"/>
    <w:rsid w:val="004B09EA"/>
    <w:rsid w:val="004D06F4"/>
    <w:rsid w:val="005454B6"/>
    <w:rsid w:val="0056252B"/>
    <w:rsid w:val="005E0C59"/>
    <w:rsid w:val="00611B5E"/>
    <w:rsid w:val="00673BEA"/>
    <w:rsid w:val="00690EF9"/>
    <w:rsid w:val="00731D58"/>
    <w:rsid w:val="0073593C"/>
    <w:rsid w:val="007955BA"/>
    <w:rsid w:val="007C3534"/>
    <w:rsid w:val="007D7701"/>
    <w:rsid w:val="007E614D"/>
    <w:rsid w:val="00806D3C"/>
    <w:rsid w:val="008634E3"/>
    <w:rsid w:val="008E70C0"/>
    <w:rsid w:val="009173AE"/>
    <w:rsid w:val="009274AE"/>
    <w:rsid w:val="00941CEB"/>
    <w:rsid w:val="009A2C92"/>
    <w:rsid w:val="009D0314"/>
    <w:rsid w:val="00A21387"/>
    <w:rsid w:val="00A5636E"/>
    <w:rsid w:val="00A93C26"/>
    <w:rsid w:val="00BA2E6F"/>
    <w:rsid w:val="00C62E20"/>
    <w:rsid w:val="00CD10AA"/>
    <w:rsid w:val="00D32148"/>
    <w:rsid w:val="00DC5743"/>
    <w:rsid w:val="00DE2720"/>
    <w:rsid w:val="00E0336F"/>
    <w:rsid w:val="00E469B7"/>
    <w:rsid w:val="00E74C27"/>
    <w:rsid w:val="00E76D6B"/>
    <w:rsid w:val="00E878F5"/>
    <w:rsid w:val="00EA6E05"/>
    <w:rsid w:val="00EC0029"/>
    <w:rsid w:val="00F318A9"/>
    <w:rsid w:val="00F6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50B7"/>
  <w15:docId w15:val="{50EE8F79-569F-44C0-B478-4FC59B8D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125AE5"/>
  </w:style>
  <w:style w:type="character" w:customStyle="1" w:styleId="NoSpacingChar">
    <w:name w:val="No Spacing Char"/>
    <w:link w:val="1"/>
    <w:locked/>
    <w:rsid w:val="00125AE5"/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qFormat/>
    <w:rsid w:val="00125AE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без абзаца,List Paragraph,маркированный,Heading1,Colorful List - Accent 11,Bullet List,FooterText,numbered,Средняя сетка 1 - Акцент 21,Colorful List - Accent 11CxSpLast,H1-1,Заголовок3,Содержание. 2 уровень,AC List 01,Абзац,Bullet Number"/>
    <w:basedOn w:val="a"/>
    <w:link w:val="a5"/>
    <w:uiPriority w:val="34"/>
    <w:qFormat/>
    <w:rsid w:val="009D03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без абзаца Знак,List Paragraph Знак,маркированный Знак,Heading1 Знак,Colorful List - Accent 11 Знак,Bullet List Знак,FooterText Знак,numbered Знак,Средняя сетка 1 - Акцент 21 Знак,Colorful List - Accent 11CxSpLast Знак,H1-1 Знак"/>
    <w:link w:val="a4"/>
    <w:uiPriority w:val="34"/>
    <w:qFormat/>
    <w:locked/>
    <w:rsid w:val="009D03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unhideWhenUsed/>
    <w:rsid w:val="00F6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A2C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A2C9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111D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11D61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Tursynzada Kuangaliyeva</dc:creator>
  <cp:keywords/>
  <dc:description/>
  <cp:lastModifiedBy>Nurgul Yesmagulova</cp:lastModifiedBy>
  <cp:revision>3</cp:revision>
  <cp:lastPrinted>2022-09-08T12:56:00Z</cp:lastPrinted>
  <dcterms:created xsi:type="dcterms:W3CDTF">2024-01-08T05:00:00Z</dcterms:created>
  <dcterms:modified xsi:type="dcterms:W3CDTF">2024-01-08T05:25:00Z</dcterms:modified>
</cp:coreProperties>
</file>