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309" w:type="dxa"/>
        <w:tblInd w:w="-572" w:type="dxa"/>
        <w:tblLook w:val="04A0" w:firstRow="1" w:lastRow="0" w:firstColumn="1" w:lastColumn="0" w:noHBand="0" w:noVBand="1"/>
      </w:tblPr>
      <w:tblGrid>
        <w:gridCol w:w="2268"/>
        <w:gridCol w:w="3799"/>
        <w:gridCol w:w="9242"/>
      </w:tblGrid>
      <w:tr w:rsidR="00D823AC" w:rsidRPr="00FC0274" w14:paraId="05A7A7EB" w14:textId="77777777" w:rsidTr="00D823AC">
        <w:tc>
          <w:tcPr>
            <w:tcW w:w="2268" w:type="dxa"/>
          </w:tcPr>
          <w:p w14:paraId="2B82E86D" w14:textId="231BEC0C" w:rsidR="00D823AC" w:rsidRPr="00FC0274" w:rsidRDefault="006C2C27" w:rsidP="00FC0274">
            <w:pPr>
              <w:jc w:val="center"/>
              <w:rPr>
                <w:rFonts w:ascii="Times New Roman" w:hAnsi="Times New Roman" w:cs="Times New Roman"/>
                <w:b/>
                <w:bCs/>
                <w:sz w:val="24"/>
                <w:szCs w:val="24"/>
                <w:lang w:val="kk-KZ"/>
              </w:rPr>
            </w:pPr>
            <w:r w:rsidRPr="00FC0274">
              <w:rPr>
                <w:rFonts w:ascii="Times New Roman" w:hAnsi="Times New Roman" w:cs="Times New Roman"/>
                <w:b/>
                <w:bCs/>
                <w:sz w:val="24"/>
                <w:szCs w:val="24"/>
                <w:lang w:val="ru-RU"/>
              </w:rPr>
              <w:t xml:space="preserve">Protocol </w:t>
            </w:r>
            <w:proofErr w:type="spellStart"/>
            <w:r w:rsidRPr="00FC0274">
              <w:rPr>
                <w:rFonts w:ascii="Times New Roman" w:hAnsi="Times New Roman" w:cs="Times New Roman"/>
                <w:b/>
                <w:bCs/>
                <w:sz w:val="24"/>
                <w:szCs w:val="24"/>
                <w:lang w:val="ru-RU"/>
              </w:rPr>
              <w:t>number</w:t>
            </w:r>
            <w:proofErr w:type="spellEnd"/>
            <w:r w:rsidRPr="00FC0274">
              <w:rPr>
                <w:rFonts w:ascii="Times New Roman" w:hAnsi="Times New Roman" w:cs="Times New Roman"/>
                <w:b/>
                <w:bCs/>
                <w:sz w:val="24"/>
                <w:szCs w:val="24"/>
                <w:lang w:val="ru-RU"/>
              </w:rPr>
              <w:t xml:space="preserve"> </w:t>
            </w:r>
            <w:proofErr w:type="spellStart"/>
            <w:r w:rsidRPr="00FC0274">
              <w:rPr>
                <w:rFonts w:ascii="Times New Roman" w:hAnsi="Times New Roman" w:cs="Times New Roman"/>
                <w:b/>
                <w:bCs/>
                <w:sz w:val="24"/>
                <w:szCs w:val="24"/>
                <w:lang w:val="ru-RU"/>
              </w:rPr>
              <w:t>and</w:t>
            </w:r>
            <w:proofErr w:type="spellEnd"/>
            <w:r w:rsidRPr="00FC0274">
              <w:rPr>
                <w:rFonts w:ascii="Times New Roman" w:hAnsi="Times New Roman" w:cs="Times New Roman"/>
                <w:b/>
                <w:bCs/>
                <w:sz w:val="24"/>
                <w:szCs w:val="24"/>
                <w:lang w:val="ru-RU"/>
              </w:rPr>
              <w:t xml:space="preserve"> </w:t>
            </w:r>
            <w:proofErr w:type="spellStart"/>
            <w:r w:rsidRPr="00FC0274">
              <w:rPr>
                <w:rFonts w:ascii="Times New Roman" w:hAnsi="Times New Roman" w:cs="Times New Roman"/>
                <w:b/>
                <w:bCs/>
                <w:sz w:val="24"/>
                <w:szCs w:val="24"/>
                <w:lang w:val="ru-RU"/>
              </w:rPr>
              <w:t>date</w:t>
            </w:r>
            <w:proofErr w:type="spellEnd"/>
          </w:p>
        </w:tc>
        <w:tc>
          <w:tcPr>
            <w:tcW w:w="3799" w:type="dxa"/>
          </w:tcPr>
          <w:p w14:paraId="581B6DC5" w14:textId="56253720" w:rsidR="00D823AC" w:rsidRPr="00FC0274" w:rsidRDefault="006C2C27" w:rsidP="00FC0274">
            <w:pPr>
              <w:jc w:val="center"/>
              <w:rPr>
                <w:rFonts w:ascii="Times New Roman" w:hAnsi="Times New Roman" w:cs="Times New Roman"/>
                <w:b/>
                <w:bCs/>
                <w:sz w:val="24"/>
                <w:szCs w:val="24"/>
              </w:rPr>
            </w:pPr>
            <w:r w:rsidRPr="00FC0274">
              <w:rPr>
                <w:rFonts w:ascii="Times New Roman" w:hAnsi="Times New Roman" w:cs="Times New Roman"/>
                <w:b/>
                <w:bCs/>
                <w:sz w:val="24"/>
                <w:szCs w:val="24"/>
              </w:rPr>
              <w:t>Issues covered</w:t>
            </w:r>
          </w:p>
        </w:tc>
        <w:tc>
          <w:tcPr>
            <w:tcW w:w="9242" w:type="dxa"/>
          </w:tcPr>
          <w:p w14:paraId="2F4F060B" w14:textId="4F921880" w:rsidR="00D823AC" w:rsidRPr="00FC0274" w:rsidRDefault="006C2C27" w:rsidP="00FC0274">
            <w:pPr>
              <w:tabs>
                <w:tab w:val="left" w:pos="431"/>
              </w:tabs>
              <w:jc w:val="center"/>
              <w:rPr>
                <w:rFonts w:ascii="Times New Roman" w:hAnsi="Times New Roman" w:cs="Times New Roman"/>
                <w:b/>
                <w:bCs/>
                <w:sz w:val="24"/>
                <w:szCs w:val="24"/>
                <w:lang w:val="kk-KZ"/>
              </w:rPr>
            </w:pPr>
            <w:r w:rsidRPr="00FC0274">
              <w:rPr>
                <w:rFonts w:ascii="Times New Roman" w:hAnsi="Times New Roman" w:cs="Times New Roman"/>
                <w:b/>
                <w:bCs/>
                <w:sz w:val="24"/>
                <w:szCs w:val="24"/>
                <w:lang w:val="kk-KZ"/>
              </w:rPr>
              <w:t>Decision of the Academic Council</w:t>
            </w:r>
          </w:p>
        </w:tc>
      </w:tr>
      <w:tr w:rsidR="00D823AC" w:rsidRPr="00FC0274" w14:paraId="1FF921AE" w14:textId="77777777" w:rsidTr="00D823AC">
        <w:tc>
          <w:tcPr>
            <w:tcW w:w="2268" w:type="dxa"/>
            <w:vMerge w:val="restart"/>
          </w:tcPr>
          <w:p w14:paraId="14FD2BFD" w14:textId="77777777" w:rsidR="00FC0274" w:rsidRPr="00FC0274" w:rsidRDefault="006C2C27" w:rsidP="00FC0274">
            <w:pPr>
              <w:spacing w:after="0" w:line="240" w:lineRule="auto"/>
              <w:jc w:val="center"/>
              <w:rPr>
                <w:rFonts w:ascii="Times New Roman" w:hAnsi="Times New Roman" w:cs="Times New Roman"/>
                <w:sz w:val="24"/>
                <w:szCs w:val="24"/>
                <w:lang w:val="ru-RU"/>
              </w:rPr>
            </w:pPr>
            <w:r w:rsidRPr="00FC0274">
              <w:rPr>
                <w:rFonts w:ascii="Times New Roman" w:hAnsi="Times New Roman" w:cs="Times New Roman"/>
                <w:sz w:val="24"/>
                <w:szCs w:val="24"/>
                <w:lang w:val="ru-RU"/>
              </w:rPr>
              <w:t xml:space="preserve">Protocol </w:t>
            </w:r>
            <w:r w:rsidRPr="00FC0274">
              <w:rPr>
                <w:rFonts w:ascii="Times New Roman" w:hAnsi="Times New Roman" w:cs="Times New Roman"/>
                <w:sz w:val="24"/>
                <w:szCs w:val="24"/>
                <w:lang w:val="ru-RU"/>
              </w:rPr>
              <w:t xml:space="preserve">No. </w:t>
            </w:r>
            <w:r w:rsidR="00FC0274" w:rsidRPr="00FC0274">
              <w:rPr>
                <w:rFonts w:ascii="Times New Roman" w:hAnsi="Times New Roman" w:cs="Times New Roman"/>
                <w:sz w:val="24"/>
                <w:szCs w:val="24"/>
                <w:lang w:val="ru-RU"/>
              </w:rPr>
              <w:t>6</w:t>
            </w:r>
          </w:p>
          <w:p w14:paraId="6AC25A88" w14:textId="4F8D34AB" w:rsidR="00D823AC" w:rsidRPr="00FC0274" w:rsidRDefault="00FC0274" w:rsidP="00FC0274">
            <w:pPr>
              <w:jc w:val="center"/>
              <w:rPr>
                <w:rFonts w:ascii="Times New Roman" w:hAnsi="Times New Roman" w:cs="Times New Roman"/>
                <w:b/>
                <w:bCs/>
                <w:sz w:val="24"/>
                <w:szCs w:val="24"/>
                <w:lang w:val="ru-RU"/>
              </w:rPr>
            </w:pPr>
            <w:proofErr w:type="spellStart"/>
            <w:r w:rsidRPr="00FC0274">
              <w:rPr>
                <w:rFonts w:ascii="Times New Roman" w:hAnsi="Times New Roman" w:cs="Times New Roman"/>
                <w:sz w:val="24"/>
                <w:szCs w:val="24"/>
                <w:lang w:val="ru-RU"/>
              </w:rPr>
              <w:t>November</w:t>
            </w:r>
            <w:proofErr w:type="spellEnd"/>
            <w:r w:rsidRPr="00FC0274">
              <w:rPr>
                <w:rFonts w:ascii="Times New Roman" w:hAnsi="Times New Roman" w:cs="Times New Roman"/>
                <w:sz w:val="24"/>
                <w:szCs w:val="24"/>
                <w:lang w:val="ru-RU"/>
              </w:rPr>
              <w:t xml:space="preserve"> 30</w:t>
            </w:r>
            <w:r w:rsidR="006C2C27" w:rsidRPr="00FC0274">
              <w:rPr>
                <w:rFonts w:ascii="Times New Roman" w:hAnsi="Times New Roman" w:cs="Times New Roman"/>
                <w:sz w:val="24"/>
                <w:szCs w:val="24"/>
                <w:lang w:val="ru-RU"/>
              </w:rPr>
              <w:t>, 2023</w:t>
            </w:r>
            <w:r w:rsidR="00D823AC" w:rsidRPr="00FC0274">
              <w:rPr>
                <w:rFonts w:ascii="Times New Roman" w:hAnsi="Times New Roman" w:cs="Times New Roman"/>
                <w:sz w:val="24"/>
                <w:szCs w:val="24"/>
                <w:lang w:val="ru-RU"/>
              </w:rPr>
              <w:t>.</w:t>
            </w:r>
          </w:p>
        </w:tc>
        <w:tc>
          <w:tcPr>
            <w:tcW w:w="3799" w:type="dxa"/>
          </w:tcPr>
          <w:p w14:paraId="25277914" w14:textId="77777777" w:rsidR="00FC0274" w:rsidRPr="00FC0274" w:rsidRDefault="00FC0274" w:rsidP="00FC0274">
            <w:pPr>
              <w:jc w:val="both"/>
              <w:rPr>
                <w:rFonts w:ascii="Times New Roman" w:hAnsi="Times New Roman" w:cs="Times New Roman"/>
                <w:color w:val="201F1E"/>
                <w:sz w:val="24"/>
                <w:szCs w:val="24"/>
                <w:bdr w:val="none" w:sz="0" w:space="0" w:color="auto" w:frame="1"/>
              </w:rPr>
            </w:pPr>
            <w:r w:rsidRPr="00FC0274">
              <w:rPr>
                <w:rFonts w:ascii="Times New Roman" w:hAnsi="Times New Roman" w:cs="Times New Roman"/>
                <w:color w:val="201F1E"/>
                <w:sz w:val="24"/>
                <w:szCs w:val="24"/>
                <w:bdr w:val="none" w:sz="0" w:space="0" w:color="auto" w:frame="1"/>
                <w:lang w:val="kk-KZ"/>
              </w:rPr>
              <w:t>1</w:t>
            </w:r>
            <w:r w:rsidRPr="00FC0274">
              <w:rPr>
                <w:rFonts w:ascii="Times New Roman" w:hAnsi="Times New Roman" w:cs="Times New Roman"/>
                <w:color w:val="201F1E"/>
                <w:sz w:val="24"/>
                <w:szCs w:val="24"/>
                <w:bdr w:val="none" w:sz="0" w:space="0" w:color="auto" w:frame="1"/>
              </w:rPr>
              <w:t xml:space="preserve">. </w:t>
            </w:r>
            <w:r w:rsidRPr="00FC0274">
              <w:rPr>
                <w:rFonts w:ascii="Times New Roman" w:hAnsi="Times New Roman" w:cs="Times New Roman"/>
                <w:color w:val="201F1E"/>
                <w:sz w:val="24"/>
                <w:szCs w:val="24"/>
                <w:bdr w:val="none" w:sz="0" w:space="0" w:color="auto" w:frame="1"/>
                <w:lang w:val="kk-KZ"/>
              </w:rPr>
              <w:t>On the internationalization of scientific and educational activities of AITU</w:t>
            </w:r>
            <w:r w:rsidRPr="00FC0274">
              <w:rPr>
                <w:rFonts w:ascii="Times New Roman" w:hAnsi="Times New Roman" w:cs="Times New Roman"/>
                <w:color w:val="201F1E"/>
                <w:sz w:val="24"/>
                <w:szCs w:val="24"/>
                <w:bdr w:val="none" w:sz="0" w:space="0" w:color="auto" w:frame="1"/>
              </w:rPr>
              <w:t xml:space="preserve"> </w:t>
            </w:r>
          </w:p>
          <w:p w14:paraId="5F47DE42" w14:textId="765CAE68" w:rsidR="00D823AC" w:rsidRPr="00FC0274" w:rsidRDefault="00FC0274" w:rsidP="00FC0274">
            <w:pPr>
              <w:jc w:val="both"/>
              <w:rPr>
                <w:rFonts w:ascii="Times New Roman" w:hAnsi="Times New Roman" w:cs="Times New Roman"/>
                <w:b/>
                <w:bCs/>
                <w:i/>
                <w:iCs/>
                <w:sz w:val="24"/>
                <w:szCs w:val="24"/>
              </w:rPr>
            </w:pPr>
            <w:r w:rsidRPr="00FC0274">
              <w:rPr>
                <w:rFonts w:ascii="Times New Roman" w:hAnsi="Times New Roman" w:cs="Times New Roman"/>
                <w:i/>
                <w:iCs/>
                <w:color w:val="201F1E"/>
                <w:sz w:val="24"/>
                <w:szCs w:val="24"/>
                <w:bdr w:val="none" w:sz="0" w:space="0" w:color="auto" w:frame="1"/>
                <w:lang w:val="kk-KZ"/>
              </w:rPr>
              <w:t>Speaker:</w:t>
            </w:r>
            <w:r w:rsidRPr="00FC0274">
              <w:rPr>
                <w:rFonts w:ascii="Times New Roman" w:hAnsi="Times New Roman" w:cs="Times New Roman"/>
                <w:i/>
                <w:iCs/>
                <w:sz w:val="24"/>
                <w:szCs w:val="24"/>
              </w:rPr>
              <w:t xml:space="preserve"> </w:t>
            </w:r>
            <w:r w:rsidRPr="00FC0274">
              <w:rPr>
                <w:rFonts w:ascii="Times New Roman" w:hAnsi="Times New Roman" w:cs="Times New Roman"/>
                <w:i/>
                <w:iCs/>
                <w:color w:val="201F1E"/>
                <w:sz w:val="24"/>
                <w:szCs w:val="24"/>
                <w:bdr w:val="none" w:sz="0" w:space="0" w:color="auto" w:frame="1"/>
                <w:lang w:val="kk-KZ"/>
              </w:rPr>
              <w:t>Burbekova S.Zh., chairman of the commission</w:t>
            </w:r>
          </w:p>
        </w:tc>
        <w:tc>
          <w:tcPr>
            <w:tcW w:w="9242" w:type="dxa"/>
          </w:tcPr>
          <w:p w14:paraId="68F152E4" w14:textId="77777777" w:rsidR="00FC0274" w:rsidRPr="00FC0274" w:rsidRDefault="00FC0274" w:rsidP="00FC0274">
            <w:pPr>
              <w:pStyle w:val="1"/>
              <w:numPr>
                <w:ilvl w:val="0"/>
                <w:numId w:val="4"/>
              </w:numPr>
              <w:tabs>
                <w:tab w:val="left" w:pos="345"/>
                <w:tab w:val="left" w:pos="851"/>
              </w:tabs>
              <w:ind w:left="0" w:firstLine="0"/>
              <w:jc w:val="both"/>
              <w:rPr>
                <w:rFonts w:ascii="Times New Roman" w:hAnsi="Times New Roman"/>
                <w:sz w:val="24"/>
                <w:szCs w:val="24"/>
              </w:rPr>
            </w:pPr>
            <w:r w:rsidRPr="00FC0274">
              <w:rPr>
                <w:rFonts w:ascii="Times New Roman" w:hAnsi="Times New Roman"/>
                <w:sz w:val="24"/>
                <w:szCs w:val="24"/>
              </w:rPr>
              <w:t>Please take note of the information and point out the existing shortcomings in the activities of the Department of International Relations on the Internationalization of Education AITU, such as the implementation of academic mobility of students, including incoming academic mobility, attraction of foreign students, lack of a mechanism for the implementation of international treaties.</w:t>
            </w:r>
          </w:p>
          <w:p w14:paraId="0D05F496" w14:textId="77777777" w:rsidR="00FC0274" w:rsidRPr="00FC0274" w:rsidRDefault="00FC0274" w:rsidP="00FC0274">
            <w:pPr>
              <w:pStyle w:val="1"/>
              <w:numPr>
                <w:ilvl w:val="0"/>
                <w:numId w:val="4"/>
              </w:numPr>
              <w:tabs>
                <w:tab w:val="left" w:pos="345"/>
                <w:tab w:val="left" w:pos="851"/>
              </w:tabs>
              <w:ind w:left="0" w:firstLine="0"/>
              <w:jc w:val="both"/>
              <w:rPr>
                <w:rFonts w:ascii="Times New Roman" w:hAnsi="Times New Roman"/>
                <w:sz w:val="24"/>
                <w:szCs w:val="24"/>
              </w:rPr>
            </w:pPr>
            <w:r w:rsidRPr="00FC0274">
              <w:rPr>
                <w:rFonts w:ascii="Times New Roman" w:hAnsi="Times New Roman"/>
                <w:sz w:val="24"/>
                <w:szCs w:val="24"/>
              </w:rPr>
              <w:t>Update the Internationalization Strategy of Astana IT University LLP in accordance with the Development Strategy of Astana IT University LLP for 2020-2025, Stage 2 2022-2025, the Concept for the Development of Higher Education and Science of the Republic of Kazakhstan for 2023-2029.</w:t>
            </w:r>
          </w:p>
          <w:p w14:paraId="3884C65B" w14:textId="77777777" w:rsidR="00FC0274" w:rsidRPr="00FC0274" w:rsidRDefault="00FC0274" w:rsidP="00FC0274">
            <w:pPr>
              <w:pStyle w:val="1"/>
              <w:tabs>
                <w:tab w:val="left" w:pos="345"/>
                <w:tab w:val="left" w:pos="851"/>
              </w:tabs>
              <w:jc w:val="both"/>
              <w:rPr>
                <w:rFonts w:ascii="Times New Roman" w:hAnsi="Times New Roman"/>
                <w:i/>
                <w:iCs/>
                <w:sz w:val="24"/>
                <w:szCs w:val="24"/>
              </w:rPr>
            </w:pPr>
            <w:r w:rsidRPr="00FC0274">
              <w:rPr>
                <w:rFonts w:ascii="Times New Roman" w:hAnsi="Times New Roman"/>
                <w:i/>
                <w:iCs/>
                <w:sz w:val="24"/>
                <w:szCs w:val="24"/>
              </w:rPr>
              <w:t>Responsible: Directors of the Department of International Relations and Department of Strategy and Corporate Governance.</w:t>
            </w:r>
          </w:p>
          <w:p w14:paraId="58BA5CCF" w14:textId="77777777" w:rsidR="00FC0274" w:rsidRPr="00FC0274" w:rsidRDefault="00FC0274" w:rsidP="00FC0274">
            <w:pPr>
              <w:pStyle w:val="1"/>
              <w:tabs>
                <w:tab w:val="left" w:pos="345"/>
                <w:tab w:val="left" w:pos="851"/>
              </w:tabs>
              <w:jc w:val="both"/>
              <w:rPr>
                <w:rFonts w:ascii="Times New Roman" w:hAnsi="Times New Roman"/>
                <w:i/>
                <w:iCs/>
                <w:sz w:val="24"/>
                <w:szCs w:val="24"/>
                <w:lang w:val="ru-RU"/>
              </w:rPr>
            </w:pPr>
            <w:proofErr w:type="spellStart"/>
            <w:r w:rsidRPr="00FC0274">
              <w:rPr>
                <w:rFonts w:ascii="Times New Roman" w:hAnsi="Times New Roman"/>
                <w:i/>
                <w:iCs/>
                <w:sz w:val="24"/>
                <w:szCs w:val="24"/>
                <w:lang w:val="ru-RU"/>
              </w:rPr>
              <w:t>Term</w:t>
            </w:r>
            <w:proofErr w:type="spellEnd"/>
            <w:r w:rsidRPr="00FC0274">
              <w:rPr>
                <w:rFonts w:ascii="Times New Roman" w:hAnsi="Times New Roman"/>
                <w:i/>
                <w:iCs/>
                <w:sz w:val="24"/>
                <w:szCs w:val="24"/>
                <w:lang w:val="ru-RU"/>
              </w:rPr>
              <w:t xml:space="preserve">: </w:t>
            </w:r>
            <w:proofErr w:type="spellStart"/>
            <w:r w:rsidRPr="00FC0274">
              <w:rPr>
                <w:rFonts w:ascii="Times New Roman" w:hAnsi="Times New Roman"/>
                <w:i/>
                <w:iCs/>
                <w:sz w:val="24"/>
                <w:szCs w:val="24"/>
                <w:lang w:val="ru-RU"/>
              </w:rPr>
              <w:t>until</w:t>
            </w:r>
            <w:proofErr w:type="spellEnd"/>
            <w:r w:rsidRPr="00FC0274">
              <w:rPr>
                <w:rFonts w:ascii="Times New Roman" w:hAnsi="Times New Roman"/>
                <w:i/>
                <w:iCs/>
                <w:sz w:val="24"/>
                <w:szCs w:val="24"/>
                <w:lang w:val="ru-RU"/>
              </w:rPr>
              <w:t xml:space="preserve"> </w:t>
            </w:r>
            <w:proofErr w:type="spellStart"/>
            <w:r w:rsidRPr="00FC0274">
              <w:rPr>
                <w:rFonts w:ascii="Times New Roman" w:hAnsi="Times New Roman"/>
                <w:i/>
                <w:iCs/>
                <w:sz w:val="24"/>
                <w:szCs w:val="24"/>
                <w:lang w:val="ru-RU"/>
              </w:rPr>
              <w:t>January</w:t>
            </w:r>
            <w:proofErr w:type="spellEnd"/>
            <w:r w:rsidRPr="00FC0274">
              <w:rPr>
                <w:rFonts w:ascii="Times New Roman" w:hAnsi="Times New Roman"/>
                <w:i/>
                <w:iCs/>
                <w:sz w:val="24"/>
                <w:szCs w:val="24"/>
                <w:lang w:val="ru-RU"/>
              </w:rPr>
              <w:t xml:space="preserve"> 30, 2024.</w:t>
            </w:r>
          </w:p>
          <w:p w14:paraId="0087638B" w14:textId="77777777" w:rsidR="00FC0274" w:rsidRPr="00FC0274" w:rsidRDefault="00FC0274" w:rsidP="00FC0274">
            <w:pPr>
              <w:pStyle w:val="1"/>
              <w:numPr>
                <w:ilvl w:val="0"/>
                <w:numId w:val="4"/>
              </w:numPr>
              <w:tabs>
                <w:tab w:val="left" w:pos="345"/>
                <w:tab w:val="left" w:pos="851"/>
              </w:tabs>
              <w:ind w:left="0" w:firstLine="0"/>
              <w:jc w:val="both"/>
              <w:rPr>
                <w:rFonts w:ascii="Times New Roman" w:hAnsi="Times New Roman"/>
                <w:sz w:val="24"/>
                <w:szCs w:val="24"/>
              </w:rPr>
            </w:pPr>
            <w:r w:rsidRPr="00FC0274">
              <w:rPr>
                <w:rFonts w:ascii="Times New Roman" w:hAnsi="Times New Roman"/>
                <w:sz w:val="24"/>
                <w:szCs w:val="24"/>
              </w:rPr>
              <w:t>To ensure systematic work on the internationalization of scientific and educational activities of the University:</w:t>
            </w:r>
          </w:p>
          <w:p w14:paraId="65028603" w14:textId="77777777" w:rsidR="00FC0274" w:rsidRPr="00FC0274" w:rsidRDefault="00FC0274" w:rsidP="00FC0274">
            <w:pPr>
              <w:pStyle w:val="1"/>
              <w:tabs>
                <w:tab w:val="left" w:pos="345"/>
                <w:tab w:val="left" w:pos="851"/>
              </w:tabs>
              <w:jc w:val="both"/>
              <w:rPr>
                <w:rFonts w:ascii="Times New Roman" w:hAnsi="Times New Roman"/>
                <w:sz w:val="24"/>
                <w:szCs w:val="24"/>
              </w:rPr>
            </w:pPr>
            <w:r w:rsidRPr="00FC0274">
              <w:rPr>
                <w:rFonts w:ascii="Times New Roman" w:hAnsi="Times New Roman"/>
                <w:sz w:val="24"/>
                <w:szCs w:val="24"/>
              </w:rPr>
              <w:t xml:space="preserve">- conduct an analysis of existing international agreements regarding the area of ​​cooperation and develop a roadmap for each agreement on international cooperation for a period of one year with quantitative and qualitative </w:t>
            </w:r>
            <w:proofErr w:type="gramStart"/>
            <w:r w:rsidRPr="00FC0274">
              <w:rPr>
                <w:rFonts w:ascii="Times New Roman" w:hAnsi="Times New Roman"/>
                <w:sz w:val="24"/>
                <w:szCs w:val="24"/>
              </w:rPr>
              <w:t>indicators;</w:t>
            </w:r>
            <w:proofErr w:type="gramEnd"/>
          </w:p>
          <w:p w14:paraId="2CDC1BFA" w14:textId="77777777" w:rsidR="00FC0274" w:rsidRPr="00FC0274" w:rsidRDefault="00FC0274" w:rsidP="00FC0274">
            <w:pPr>
              <w:pStyle w:val="1"/>
              <w:tabs>
                <w:tab w:val="left" w:pos="345"/>
                <w:tab w:val="left" w:pos="851"/>
              </w:tabs>
              <w:jc w:val="both"/>
              <w:rPr>
                <w:rFonts w:ascii="Times New Roman" w:hAnsi="Times New Roman"/>
                <w:sz w:val="24"/>
                <w:szCs w:val="24"/>
              </w:rPr>
            </w:pPr>
            <w:r w:rsidRPr="00FC0274">
              <w:rPr>
                <w:rFonts w:ascii="Times New Roman" w:hAnsi="Times New Roman"/>
                <w:sz w:val="24"/>
                <w:szCs w:val="24"/>
              </w:rPr>
              <w:t xml:space="preserve">- develop a roadmap for attracting foreign students, indicating the types of events, quantitative and qualitative </w:t>
            </w:r>
            <w:proofErr w:type="gramStart"/>
            <w:r w:rsidRPr="00FC0274">
              <w:rPr>
                <w:rFonts w:ascii="Times New Roman" w:hAnsi="Times New Roman"/>
                <w:sz w:val="24"/>
                <w:szCs w:val="24"/>
              </w:rPr>
              <w:t>indicators;</w:t>
            </w:r>
            <w:proofErr w:type="gramEnd"/>
          </w:p>
          <w:p w14:paraId="132A0091" w14:textId="77777777" w:rsidR="00FC0274" w:rsidRPr="00FC0274" w:rsidRDefault="00FC0274" w:rsidP="00FC0274">
            <w:pPr>
              <w:pStyle w:val="1"/>
              <w:tabs>
                <w:tab w:val="left" w:pos="345"/>
                <w:tab w:val="left" w:pos="851"/>
              </w:tabs>
              <w:jc w:val="both"/>
              <w:rPr>
                <w:rFonts w:ascii="Times New Roman" w:hAnsi="Times New Roman"/>
                <w:sz w:val="24"/>
                <w:szCs w:val="24"/>
              </w:rPr>
            </w:pPr>
            <w:r w:rsidRPr="00FC0274">
              <w:rPr>
                <w:rFonts w:ascii="Times New Roman" w:hAnsi="Times New Roman"/>
                <w:sz w:val="24"/>
                <w:szCs w:val="24"/>
              </w:rPr>
              <w:t>- make changes and additions to the University Academic Mobility Rules regarding selection criteria for academic mobility programs.</w:t>
            </w:r>
          </w:p>
          <w:p w14:paraId="4D647DBC" w14:textId="77777777" w:rsidR="00FC0274" w:rsidRPr="00FC0274" w:rsidRDefault="00FC0274" w:rsidP="00FC0274">
            <w:pPr>
              <w:pStyle w:val="1"/>
              <w:tabs>
                <w:tab w:val="left" w:pos="345"/>
                <w:tab w:val="left" w:pos="851"/>
              </w:tabs>
              <w:jc w:val="both"/>
              <w:rPr>
                <w:rFonts w:ascii="Times New Roman" w:hAnsi="Times New Roman"/>
                <w:i/>
                <w:iCs/>
                <w:sz w:val="24"/>
                <w:szCs w:val="24"/>
              </w:rPr>
            </w:pPr>
            <w:r w:rsidRPr="00FC0274">
              <w:rPr>
                <w:rFonts w:ascii="Times New Roman" w:hAnsi="Times New Roman"/>
                <w:i/>
                <w:iCs/>
                <w:sz w:val="24"/>
                <w:szCs w:val="24"/>
              </w:rPr>
              <w:t>Responsible: Director of the Department of International Relations.</w:t>
            </w:r>
          </w:p>
          <w:p w14:paraId="233884F1" w14:textId="77777777" w:rsidR="00FC0274" w:rsidRPr="00FC0274" w:rsidRDefault="00FC0274" w:rsidP="00FC0274">
            <w:pPr>
              <w:pStyle w:val="1"/>
              <w:tabs>
                <w:tab w:val="left" w:pos="345"/>
                <w:tab w:val="left" w:pos="851"/>
              </w:tabs>
              <w:jc w:val="both"/>
              <w:rPr>
                <w:rFonts w:ascii="Times New Roman" w:hAnsi="Times New Roman"/>
                <w:sz w:val="24"/>
                <w:szCs w:val="24"/>
                <w:lang w:val="ru-RU"/>
              </w:rPr>
            </w:pPr>
            <w:proofErr w:type="spellStart"/>
            <w:r w:rsidRPr="00FC0274">
              <w:rPr>
                <w:rFonts w:ascii="Times New Roman" w:hAnsi="Times New Roman"/>
                <w:i/>
                <w:iCs/>
                <w:sz w:val="24"/>
                <w:szCs w:val="24"/>
                <w:lang w:val="ru-RU"/>
              </w:rPr>
              <w:t>Term</w:t>
            </w:r>
            <w:proofErr w:type="spellEnd"/>
            <w:r w:rsidRPr="00FC0274">
              <w:rPr>
                <w:rFonts w:ascii="Times New Roman" w:hAnsi="Times New Roman"/>
                <w:i/>
                <w:iCs/>
                <w:sz w:val="24"/>
                <w:szCs w:val="24"/>
                <w:lang w:val="ru-RU"/>
              </w:rPr>
              <w:t xml:space="preserve">: </w:t>
            </w:r>
            <w:proofErr w:type="spellStart"/>
            <w:r w:rsidRPr="00FC0274">
              <w:rPr>
                <w:rFonts w:ascii="Times New Roman" w:hAnsi="Times New Roman"/>
                <w:i/>
                <w:iCs/>
                <w:sz w:val="24"/>
                <w:szCs w:val="24"/>
                <w:lang w:val="ru-RU"/>
              </w:rPr>
              <w:t>until</w:t>
            </w:r>
            <w:proofErr w:type="spellEnd"/>
            <w:r w:rsidRPr="00FC0274">
              <w:rPr>
                <w:rFonts w:ascii="Times New Roman" w:hAnsi="Times New Roman"/>
                <w:i/>
                <w:iCs/>
                <w:sz w:val="24"/>
                <w:szCs w:val="24"/>
                <w:lang w:val="ru-RU"/>
              </w:rPr>
              <w:t xml:space="preserve"> </w:t>
            </w:r>
            <w:proofErr w:type="spellStart"/>
            <w:r w:rsidRPr="00FC0274">
              <w:rPr>
                <w:rFonts w:ascii="Times New Roman" w:hAnsi="Times New Roman"/>
                <w:i/>
                <w:iCs/>
                <w:sz w:val="24"/>
                <w:szCs w:val="24"/>
                <w:lang w:val="ru-RU"/>
              </w:rPr>
              <w:t>January</w:t>
            </w:r>
            <w:proofErr w:type="spellEnd"/>
            <w:r w:rsidRPr="00FC0274">
              <w:rPr>
                <w:rFonts w:ascii="Times New Roman" w:hAnsi="Times New Roman"/>
                <w:i/>
                <w:iCs/>
                <w:sz w:val="24"/>
                <w:szCs w:val="24"/>
                <w:lang w:val="ru-RU"/>
              </w:rPr>
              <w:t xml:space="preserve"> 30, 2024.</w:t>
            </w:r>
          </w:p>
          <w:p w14:paraId="4A50DDC1" w14:textId="77777777" w:rsidR="00FC0274" w:rsidRPr="00FC0274" w:rsidRDefault="00FC0274" w:rsidP="00FC0274">
            <w:pPr>
              <w:pStyle w:val="1"/>
              <w:numPr>
                <w:ilvl w:val="0"/>
                <w:numId w:val="4"/>
              </w:numPr>
              <w:tabs>
                <w:tab w:val="left" w:pos="345"/>
                <w:tab w:val="left" w:pos="851"/>
              </w:tabs>
              <w:ind w:left="0" w:firstLine="0"/>
              <w:jc w:val="both"/>
              <w:rPr>
                <w:rFonts w:ascii="Times New Roman" w:hAnsi="Times New Roman"/>
                <w:sz w:val="24"/>
                <w:szCs w:val="24"/>
              </w:rPr>
            </w:pPr>
            <w:proofErr w:type="gramStart"/>
            <w:r w:rsidRPr="00FC0274">
              <w:rPr>
                <w:rFonts w:ascii="Times New Roman" w:hAnsi="Times New Roman"/>
                <w:sz w:val="24"/>
                <w:szCs w:val="24"/>
              </w:rPr>
              <w:t>In order to</w:t>
            </w:r>
            <w:proofErr w:type="gramEnd"/>
            <w:r w:rsidRPr="00FC0274">
              <w:rPr>
                <w:rFonts w:ascii="Times New Roman" w:hAnsi="Times New Roman"/>
                <w:sz w:val="24"/>
                <w:szCs w:val="24"/>
              </w:rPr>
              <w:t xml:space="preserve"> increase the involvement of additional education in the processes of internationalization of scientific and educational activities:</w:t>
            </w:r>
          </w:p>
          <w:p w14:paraId="1B58048A" w14:textId="77777777" w:rsidR="00FC0274" w:rsidRPr="00FC0274" w:rsidRDefault="00FC0274" w:rsidP="00FC0274">
            <w:pPr>
              <w:pStyle w:val="1"/>
              <w:tabs>
                <w:tab w:val="left" w:pos="345"/>
                <w:tab w:val="left" w:pos="851"/>
              </w:tabs>
              <w:jc w:val="both"/>
              <w:rPr>
                <w:rFonts w:ascii="Times New Roman" w:hAnsi="Times New Roman"/>
                <w:sz w:val="24"/>
                <w:szCs w:val="24"/>
              </w:rPr>
            </w:pPr>
            <w:r w:rsidRPr="00FC0274">
              <w:rPr>
                <w:rFonts w:ascii="Times New Roman" w:hAnsi="Times New Roman"/>
                <w:sz w:val="24"/>
                <w:szCs w:val="24"/>
              </w:rPr>
              <w:t xml:space="preserve">- carry out work to attract foreign teachers from the AITU database of foreign teaching staff for disciplines of </w:t>
            </w:r>
            <w:proofErr w:type="gramStart"/>
            <w:r w:rsidRPr="00FC0274">
              <w:rPr>
                <w:rFonts w:ascii="Times New Roman" w:hAnsi="Times New Roman"/>
                <w:sz w:val="24"/>
                <w:szCs w:val="24"/>
              </w:rPr>
              <w:t>Educational</w:t>
            </w:r>
            <w:proofErr w:type="gramEnd"/>
            <w:r w:rsidRPr="00FC0274">
              <w:rPr>
                <w:rFonts w:ascii="Times New Roman" w:hAnsi="Times New Roman"/>
                <w:sz w:val="24"/>
                <w:szCs w:val="24"/>
              </w:rPr>
              <w:t xml:space="preserve"> programs that are not provided with a teacher;</w:t>
            </w:r>
          </w:p>
          <w:p w14:paraId="1AB2EA4B" w14:textId="77777777" w:rsidR="00FC0274" w:rsidRPr="00FC0274" w:rsidRDefault="00FC0274" w:rsidP="00FC0274">
            <w:pPr>
              <w:pStyle w:val="1"/>
              <w:tabs>
                <w:tab w:val="left" w:pos="345"/>
                <w:tab w:val="left" w:pos="851"/>
              </w:tabs>
              <w:jc w:val="both"/>
              <w:rPr>
                <w:rFonts w:ascii="Times New Roman" w:hAnsi="Times New Roman"/>
                <w:sz w:val="24"/>
                <w:szCs w:val="24"/>
              </w:rPr>
            </w:pPr>
            <w:r w:rsidRPr="00FC0274">
              <w:rPr>
                <w:rFonts w:ascii="Times New Roman" w:hAnsi="Times New Roman"/>
                <w:sz w:val="24"/>
                <w:szCs w:val="24"/>
              </w:rPr>
              <w:t>- carry out analytical and organizational work on the implementation of double-diploma / joint educational programs with partner universities.</w:t>
            </w:r>
          </w:p>
          <w:p w14:paraId="5CD2EFA6" w14:textId="77777777" w:rsidR="00FC0274" w:rsidRPr="00FC0274" w:rsidRDefault="00FC0274" w:rsidP="00FC0274">
            <w:pPr>
              <w:pStyle w:val="1"/>
              <w:tabs>
                <w:tab w:val="left" w:pos="345"/>
                <w:tab w:val="left" w:pos="851"/>
              </w:tabs>
              <w:jc w:val="both"/>
              <w:rPr>
                <w:rFonts w:ascii="Times New Roman" w:hAnsi="Times New Roman"/>
                <w:sz w:val="24"/>
                <w:szCs w:val="24"/>
              </w:rPr>
            </w:pPr>
            <w:r w:rsidRPr="00FC0274">
              <w:rPr>
                <w:rFonts w:ascii="Times New Roman" w:hAnsi="Times New Roman"/>
                <w:i/>
                <w:iCs/>
                <w:sz w:val="24"/>
                <w:szCs w:val="24"/>
              </w:rPr>
              <w:t>Responsible: Directors of Educational Program Departments.</w:t>
            </w:r>
            <w:r w:rsidRPr="00FC0274">
              <w:rPr>
                <w:rFonts w:ascii="Times New Roman" w:hAnsi="Times New Roman"/>
                <w:sz w:val="24"/>
                <w:szCs w:val="24"/>
              </w:rPr>
              <w:t xml:space="preserve"> </w:t>
            </w:r>
          </w:p>
          <w:p w14:paraId="23409A2F" w14:textId="77777777" w:rsidR="00FC0274" w:rsidRPr="00FC0274" w:rsidRDefault="00FC0274" w:rsidP="00FC0274">
            <w:pPr>
              <w:pStyle w:val="1"/>
              <w:tabs>
                <w:tab w:val="left" w:pos="345"/>
                <w:tab w:val="left" w:pos="851"/>
              </w:tabs>
              <w:jc w:val="both"/>
              <w:rPr>
                <w:rFonts w:ascii="Times New Roman" w:hAnsi="Times New Roman"/>
                <w:sz w:val="24"/>
                <w:szCs w:val="24"/>
              </w:rPr>
            </w:pPr>
            <w:r w:rsidRPr="00FC0274">
              <w:rPr>
                <w:rFonts w:ascii="Times New Roman" w:hAnsi="Times New Roman"/>
                <w:i/>
                <w:iCs/>
                <w:sz w:val="24"/>
                <w:szCs w:val="24"/>
              </w:rPr>
              <w:t>Term: until January 30, 2024</w:t>
            </w:r>
            <w:r w:rsidRPr="00FC0274">
              <w:rPr>
                <w:rFonts w:ascii="Times New Roman" w:hAnsi="Times New Roman"/>
                <w:sz w:val="24"/>
                <w:szCs w:val="24"/>
              </w:rPr>
              <w:t>.</w:t>
            </w:r>
          </w:p>
          <w:p w14:paraId="0067BF9D" w14:textId="77777777" w:rsidR="00FC0274" w:rsidRPr="00FC0274" w:rsidRDefault="00FC0274" w:rsidP="00FC0274">
            <w:pPr>
              <w:pStyle w:val="1"/>
              <w:tabs>
                <w:tab w:val="left" w:pos="345"/>
                <w:tab w:val="left" w:pos="851"/>
              </w:tabs>
              <w:jc w:val="both"/>
              <w:rPr>
                <w:rFonts w:ascii="Times New Roman" w:hAnsi="Times New Roman"/>
                <w:sz w:val="24"/>
                <w:szCs w:val="24"/>
              </w:rPr>
            </w:pPr>
            <w:r w:rsidRPr="00FC0274">
              <w:rPr>
                <w:rFonts w:ascii="Times New Roman" w:hAnsi="Times New Roman"/>
                <w:sz w:val="24"/>
                <w:szCs w:val="24"/>
              </w:rPr>
              <w:lastRenderedPageBreak/>
              <w:t>- carry out regular monitoring of the planning and implementation of activities for the internationalization of scientific and educational activities into the teacher’s individual plan.</w:t>
            </w:r>
          </w:p>
          <w:p w14:paraId="272EA8E7" w14:textId="77777777" w:rsidR="00FC0274" w:rsidRPr="00FC0274" w:rsidRDefault="00FC0274" w:rsidP="00FC0274">
            <w:pPr>
              <w:pStyle w:val="1"/>
              <w:tabs>
                <w:tab w:val="left" w:pos="345"/>
                <w:tab w:val="left" w:pos="851"/>
              </w:tabs>
              <w:jc w:val="both"/>
              <w:rPr>
                <w:rFonts w:ascii="Times New Roman" w:hAnsi="Times New Roman"/>
                <w:i/>
                <w:iCs/>
                <w:sz w:val="24"/>
                <w:szCs w:val="24"/>
              </w:rPr>
            </w:pPr>
            <w:r w:rsidRPr="00FC0274">
              <w:rPr>
                <w:rFonts w:ascii="Times New Roman" w:hAnsi="Times New Roman"/>
                <w:i/>
                <w:iCs/>
                <w:sz w:val="24"/>
                <w:szCs w:val="24"/>
              </w:rPr>
              <w:t>Responsible: Directors of Educational Program Departments.</w:t>
            </w:r>
          </w:p>
          <w:p w14:paraId="4412689B" w14:textId="77777777" w:rsidR="00FC0274" w:rsidRPr="00FC0274" w:rsidRDefault="00FC0274" w:rsidP="00FC0274">
            <w:pPr>
              <w:pStyle w:val="1"/>
              <w:tabs>
                <w:tab w:val="left" w:pos="345"/>
                <w:tab w:val="left" w:pos="851"/>
              </w:tabs>
              <w:jc w:val="both"/>
              <w:rPr>
                <w:rFonts w:ascii="Times New Roman" w:hAnsi="Times New Roman"/>
                <w:sz w:val="24"/>
                <w:szCs w:val="24"/>
              </w:rPr>
            </w:pPr>
            <w:r w:rsidRPr="00FC0274">
              <w:rPr>
                <w:rFonts w:ascii="Times New Roman" w:hAnsi="Times New Roman"/>
                <w:i/>
                <w:iCs/>
                <w:sz w:val="24"/>
                <w:szCs w:val="24"/>
              </w:rPr>
              <w:t>Term: June 2024 (based on the results of the annual report of the teaching staff)</w:t>
            </w:r>
            <w:r w:rsidRPr="00FC0274">
              <w:rPr>
                <w:rFonts w:ascii="Times New Roman" w:hAnsi="Times New Roman"/>
                <w:sz w:val="24"/>
                <w:szCs w:val="24"/>
              </w:rPr>
              <w:t>.</w:t>
            </w:r>
          </w:p>
          <w:p w14:paraId="1143DD80" w14:textId="77777777" w:rsidR="00FC0274" w:rsidRPr="00FC0274" w:rsidRDefault="00FC0274" w:rsidP="00FC0274">
            <w:pPr>
              <w:pStyle w:val="1"/>
              <w:numPr>
                <w:ilvl w:val="0"/>
                <w:numId w:val="4"/>
              </w:numPr>
              <w:tabs>
                <w:tab w:val="left" w:pos="345"/>
                <w:tab w:val="left" w:pos="851"/>
              </w:tabs>
              <w:ind w:left="0" w:firstLine="0"/>
              <w:jc w:val="both"/>
              <w:rPr>
                <w:rFonts w:ascii="Times New Roman" w:hAnsi="Times New Roman"/>
                <w:sz w:val="24"/>
                <w:szCs w:val="24"/>
              </w:rPr>
            </w:pPr>
            <w:r w:rsidRPr="00FC0274">
              <w:rPr>
                <w:rFonts w:ascii="Times New Roman" w:hAnsi="Times New Roman"/>
                <w:sz w:val="24"/>
                <w:szCs w:val="24"/>
              </w:rPr>
              <w:t>Ensure regular monitoring of reporting and coverage on the university website of the participation of teachers and students in international scientific events.</w:t>
            </w:r>
          </w:p>
          <w:p w14:paraId="73952D25" w14:textId="77777777" w:rsidR="00FC0274" w:rsidRPr="00FC0274" w:rsidRDefault="00FC0274" w:rsidP="00FC0274">
            <w:pPr>
              <w:pStyle w:val="1"/>
              <w:tabs>
                <w:tab w:val="left" w:pos="345"/>
                <w:tab w:val="left" w:pos="851"/>
              </w:tabs>
              <w:jc w:val="both"/>
              <w:rPr>
                <w:rFonts w:ascii="Times New Roman" w:hAnsi="Times New Roman"/>
                <w:i/>
                <w:iCs/>
                <w:sz w:val="24"/>
                <w:szCs w:val="24"/>
              </w:rPr>
            </w:pPr>
            <w:r w:rsidRPr="00FC0274">
              <w:rPr>
                <w:rFonts w:ascii="Times New Roman" w:hAnsi="Times New Roman"/>
                <w:i/>
                <w:iCs/>
                <w:sz w:val="24"/>
                <w:szCs w:val="24"/>
              </w:rPr>
              <w:t>Responsible: Director of the Department of Science and Innovation.</w:t>
            </w:r>
          </w:p>
          <w:p w14:paraId="3CF1E6BE" w14:textId="77777777" w:rsidR="00FC0274" w:rsidRPr="00FC0274" w:rsidRDefault="00FC0274" w:rsidP="00FC0274">
            <w:pPr>
              <w:pStyle w:val="1"/>
              <w:tabs>
                <w:tab w:val="left" w:pos="345"/>
                <w:tab w:val="left" w:pos="851"/>
              </w:tabs>
              <w:jc w:val="both"/>
              <w:rPr>
                <w:rFonts w:ascii="Times New Roman" w:hAnsi="Times New Roman"/>
                <w:sz w:val="24"/>
                <w:szCs w:val="24"/>
              </w:rPr>
            </w:pPr>
            <w:r w:rsidRPr="00FC0274">
              <w:rPr>
                <w:rFonts w:ascii="Times New Roman" w:hAnsi="Times New Roman"/>
                <w:i/>
                <w:iCs/>
                <w:sz w:val="24"/>
                <w:szCs w:val="24"/>
              </w:rPr>
              <w:t>Term: until June 2024 (based on the results of the annual report)</w:t>
            </w:r>
            <w:r w:rsidRPr="00FC0274">
              <w:rPr>
                <w:rFonts w:ascii="Times New Roman" w:hAnsi="Times New Roman"/>
                <w:sz w:val="24"/>
                <w:szCs w:val="24"/>
              </w:rPr>
              <w:t>.</w:t>
            </w:r>
          </w:p>
          <w:p w14:paraId="272DDC12" w14:textId="77777777" w:rsidR="00FC0274" w:rsidRPr="00FC0274" w:rsidRDefault="00FC0274" w:rsidP="00FC0274">
            <w:pPr>
              <w:pStyle w:val="1"/>
              <w:numPr>
                <w:ilvl w:val="0"/>
                <w:numId w:val="4"/>
              </w:numPr>
              <w:tabs>
                <w:tab w:val="left" w:pos="345"/>
                <w:tab w:val="left" w:pos="851"/>
              </w:tabs>
              <w:ind w:left="0" w:firstLine="0"/>
              <w:jc w:val="both"/>
              <w:rPr>
                <w:rFonts w:ascii="Times New Roman" w:hAnsi="Times New Roman"/>
                <w:sz w:val="24"/>
                <w:szCs w:val="24"/>
              </w:rPr>
            </w:pPr>
            <w:proofErr w:type="gramStart"/>
            <w:r w:rsidRPr="00FC0274">
              <w:rPr>
                <w:rFonts w:ascii="Times New Roman" w:hAnsi="Times New Roman"/>
                <w:sz w:val="24"/>
                <w:szCs w:val="24"/>
              </w:rPr>
              <w:t>In order to</w:t>
            </w:r>
            <w:proofErr w:type="gramEnd"/>
            <w:r w:rsidRPr="00FC0274">
              <w:rPr>
                <w:rFonts w:ascii="Times New Roman" w:hAnsi="Times New Roman"/>
                <w:sz w:val="24"/>
                <w:szCs w:val="24"/>
              </w:rPr>
              <w:t xml:space="preserve"> increase the attractiveness of the AITU brand:</w:t>
            </w:r>
          </w:p>
          <w:p w14:paraId="2560583C" w14:textId="77777777" w:rsidR="00FC0274" w:rsidRPr="00FC0274" w:rsidRDefault="00FC0274" w:rsidP="00FC0274">
            <w:pPr>
              <w:pStyle w:val="1"/>
              <w:tabs>
                <w:tab w:val="left" w:pos="345"/>
                <w:tab w:val="left" w:pos="851"/>
              </w:tabs>
              <w:jc w:val="both"/>
              <w:rPr>
                <w:rFonts w:ascii="Times New Roman" w:hAnsi="Times New Roman"/>
                <w:sz w:val="24"/>
                <w:szCs w:val="24"/>
              </w:rPr>
            </w:pPr>
            <w:r w:rsidRPr="00FC0274">
              <w:rPr>
                <w:rFonts w:ascii="Times New Roman" w:hAnsi="Times New Roman"/>
                <w:sz w:val="24"/>
                <w:szCs w:val="24"/>
              </w:rPr>
              <w:t>- to structure information on internationalization (partnerships with international scientific organizations and universities, scholarship programs for foreign students, etc.)</w:t>
            </w:r>
          </w:p>
          <w:p w14:paraId="7C25CA63" w14:textId="77777777" w:rsidR="00FC0274" w:rsidRPr="00FC0274" w:rsidRDefault="00FC0274" w:rsidP="00FC0274">
            <w:pPr>
              <w:pStyle w:val="1"/>
              <w:tabs>
                <w:tab w:val="left" w:pos="345"/>
                <w:tab w:val="left" w:pos="851"/>
              </w:tabs>
              <w:jc w:val="both"/>
              <w:rPr>
                <w:rFonts w:ascii="Times New Roman" w:hAnsi="Times New Roman"/>
                <w:sz w:val="24"/>
                <w:szCs w:val="24"/>
              </w:rPr>
            </w:pPr>
            <w:r w:rsidRPr="00FC0274">
              <w:rPr>
                <w:rFonts w:ascii="Times New Roman" w:hAnsi="Times New Roman"/>
                <w:sz w:val="24"/>
                <w:szCs w:val="24"/>
              </w:rPr>
              <w:t>- make proposals for changing the site architecture to make the site easier to navigate when searching for information.</w:t>
            </w:r>
          </w:p>
          <w:p w14:paraId="50D23AF0" w14:textId="77777777" w:rsidR="00FC0274" w:rsidRPr="00FC0274" w:rsidRDefault="00FC0274" w:rsidP="00FC0274">
            <w:pPr>
              <w:pStyle w:val="1"/>
              <w:tabs>
                <w:tab w:val="left" w:pos="345"/>
                <w:tab w:val="left" w:pos="851"/>
              </w:tabs>
              <w:jc w:val="both"/>
              <w:rPr>
                <w:rFonts w:ascii="Times New Roman" w:hAnsi="Times New Roman"/>
                <w:i/>
                <w:iCs/>
                <w:sz w:val="24"/>
                <w:szCs w:val="24"/>
              </w:rPr>
            </w:pPr>
            <w:r w:rsidRPr="00FC0274">
              <w:rPr>
                <w:rFonts w:ascii="Times New Roman" w:hAnsi="Times New Roman"/>
                <w:i/>
                <w:iCs/>
                <w:sz w:val="24"/>
                <w:szCs w:val="24"/>
              </w:rPr>
              <w:t>Responsible: Directors of Department of Marketing and Public Relations and Department of Information Technology.</w:t>
            </w:r>
          </w:p>
          <w:p w14:paraId="50F9F357" w14:textId="2C2BF682" w:rsidR="00D823AC" w:rsidRPr="00FC0274" w:rsidRDefault="00FC0274" w:rsidP="00FC0274">
            <w:pPr>
              <w:pStyle w:val="1"/>
              <w:tabs>
                <w:tab w:val="left" w:pos="315"/>
                <w:tab w:val="left" w:pos="345"/>
                <w:tab w:val="left" w:pos="431"/>
              </w:tabs>
              <w:jc w:val="both"/>
              <w:rPr>
                <w:rFonts w:ascii="Times New Roman" w:hAnsi="Times New Roman"/>
                <w:sz w:val="24"/>
                <w:szCs w:val="24"/>
                <w:lang w:val="ru-RU"/>
              </w:rPr>
            </w:pPr>
            <w:r w:rsidRPr="00FC0274">
              <w:rPr>
                <w:rFonts w:ascii="Times New Roman" w:hAnsi="Times New Roman"/>
                <w:i/>
                <w:iCs/>
                <w:sz w:val="24"/>
                <w:szCs w:val="24"/>
              </w:rPr>
              <w:t>Term: until January 10, 2024</w:t>
            </w:r>
          </w:p>
        </w:tc>
      </w:tr>
      <w:tr w:rsidR="00D823AC" w:rsidRPr="00FC0274" w14:paraId="26F364A4" w14:textId="77777777" w:rsidTr="00D823AC">
        <w:tc>
          <w:tcPr>
            <w:tcW w:w="2268" w:type="dxa"/>
            <w:vMerge/>
          </w:tcPr>
          <w:p w14:paraId="338DD838" w14:textId="77777777" w:rsidR="00D823AC" w:rsidRPr="00FC0274" w:rsidRDefault="00D823AC" w:rsidP="00FC0274">
            <w:pPr>
              <w:jc w:val="center"/>
              <w:rPr>
                <w:rFonts w:ascii="Times New Roman" w:hAnsi="Times New Roman" w:cs="Times New Roman"/>
                <w:sz w:val="24"/>
                <w:szCs w:val="24"/>
                <w:lang w:val="ru-RU"/>
              </w:rPr>
            </w:pPr>
          </w:p>
        </w:tc>
        <w:tc>
          <w:tcPr>
            <w:tcW w:w="3799" w:type="dxa"/>
          </w:tcPr>
          <w:p w14:paraId="6BD6FD86" w14:textId="77777777" w:rsidR="00FC0274" w:rsidRPr="00FC0274" w:rsidRDefault="00FC0274" w:rsidP="00FC0274">
            <w:pPr>
              <w:jc w:val="both"/>
              <w:rPr>
                <w:rFonts w:ascii="Times New Roman" w:hAnsi="Times New Roman" w:cs="Times New Roman"/>
                <w:color w:val="201F1E"/>
                <w:sz w:val="24"/>
                <w:szCs w:val="24"/>
                <w:bdr w:val="none" w:sz="0" w:space="0" w:color="auto" w:frame="1"/>
                <w:lang w:val="kk-KZ"/>
              </w:rPr>
            </w:pPr>
            <w:r w:rsidRPr="00FC0274">
              <w:rPr>
                <w:rFonts w:ascii="Times New Roman" w:hAnsi="Times New Roman" w:cs="Times New Roman"/>
                <w:color w:val="201F1E"/>
                <w:sz w:val="24"/>
                <w:szCs w:val="24"/>
                <w:bdr w:val="none" w:sz="0" w:space="0" w:color="auto" w:frame="1"/>
                <w:lang w:val="kk-KZ"/>
              </w:rPr>
              <w:t xml:space="preserve">2. </w:t>
            </w:r>
            <w:r w:rsidRPr="00FC0274">
              <w:rPr>
                <w:rFonts w:ascii="Times New Roman" w:hAnsi="Times New Roman" w:cs="Times New Roman"/>
                <w:color w:val="201F1E"/>
                <w:sz w:val="24"/>
                <w:szCs w:val="24"/>
                <w:bdr w:val="none" w:sz="0" w:space="0" w:color="auto" w:frame="1"/>
              </w:rPr>
              <w:t>On the readiness to implement the Minor Blockchain program</w:t>
            </w:r>
            <w:r w:rsidRPr="00FC0274">
              <w:rPr>
                <w:rFonts w:ascii="Times New Roman" w:hAnsi="Times New Roman" w:cs="Times New Roman"/>
                <w:color w:val="201F1E"/>
                <w:sz w:val="24"/>
                <w:szCs w:val="24"/>
                <w:bdr w:val="none" w:sz="0" w:space="0" w:color="auto" w:frame="1"/>
                <w:lang w:val="kk-KZ"/>
              </w:rPr>
              <w:t xml:space="preserve"> </w:t>
            </w:r>
          </w:p>
          <w:p w14:paraId="7149781A" w14:textId="31C8F32B" w:rsidR="00D823AC" w:rsidRPr="00FC0274" w:rsidRDefault="00FC0274" w:rsidP="00FC0274">
            <w:pPr>
              <w:jc w:val="both"/>
              <w:rPr>
                <w:rFonts w:ascii="Times New Roman" w:hAnsi="Times New Roman" w:cs="Times New Roman"/>
                <w:sz w:val="24"/>
                <w:szCs w:val="24"/>
              </w:rPr>
            </w:pPr>
            <w:r w:rsidRPr="00FC0274">
              <w:rPr>
                <w:rFonts w:ascii="Times New Roman" w:hAnsi="Times New Roman" w:cs="Times New Roman"/>
                <w:i/>
                <w:iCs/>
                <w:color w:val="201F1E"/>
                <w:sz w:val="24"/>
                <w:szCs w:val="24"/>
                <w:bdr w:val="none" w:sz="0" w:space="0" w:color="auto" w:frame="1"/>
                <w:lang w:val="kk-KZ"/>
              </w:rPr>
              <w:t>Speaker: Kumalakov B</w:t>
            </w:r>
            <w:r w:rsidRPr="00FC0274">
              <w:rPr>
                <w:rFonts w:ascii="Times New Roman" w:hAnsi="Times New Roman" w:cs="Times New Roman"/>
                <w:i/>
                <w:iCs/>
                <w:color w:val="201F1E"/>
                <w:sz w:val="24"/>
                <w:szCs w:val="24"/>
                <w:bdr w:val="none" w:sz="0" w:space="0" w:color="auto" w:frame="1"/>
              </w:rPr>
              <w:t>.</w:t>
            </w:r>
            <w:r w:rsidRPr="00FC0274">
              <w:rPr>
                <w:rFonts w:ascii="Times New Roman" w:hAnsi="Times New Roman" w:cs="Times New Roman"/>
                <w:i/>
                <w:iCs/>
                <w:color w:val="201F1E"/>
                <w:sz w:val="24"/>
                <w:szCs w:val="24"/>
                <w:bdr w:val="none" w:sz="0" w:space="0" w:color="auto" w:frame="1"/>
                <w:lang w:val="kk-KZ"/>
              </w:rPr>
              <w:t>A., Vice-Rector for Academic and Educational Work</w:t>
            </w:r>
          </w:p>
        </w:tc>
        <w:tc>
          <w:tcPr>
            <w:tcW w:w="9242" w:type="dxa"/>
          </w:tcPr>
          <w:p w14:paraId="4F2B139F" w14:textId="77777777" w:rsidR="00FC0274" w:rsidRPr="00FC0274" w:rsidRDefault="00FC0274" w:rsidP="00FC0274">
            <w:pPr>
              <w:pStyle w:val="a4"/>
              <w:numPr>
                <w:ilvl w:val="0"/>
                <w:numId w:val="3"/>
              </w:numPr>
              <w:tabs>
                <w:tab w:val="left" w:pos="345"/>
                <w:tab w:val="left" w:pos="567"/>
                <w:tab w:val="left" w:pos="851"/>
              </w:tabs>
              <w:ind w:left="0" w:firstLine="0"/>
              <w:jc w:val="both"/>
              <w:rPr>
                <w:bCs/>
              </w:rPr>
            </w:pPr>
            <w:r w:rsidRPr="00FC0274">
              <w:rPr>
                <w:bCs/>
              </w:rPr>
              <w:t xml:space="preserve">To </w:t>
            </w:r>
            <w:proofErr w:type="spellStart"/>
            <w:r w:rsidRPr="00FC0274">
              <w:rPr>
                <w:bCs/>
              </w:rPr>
              <w:t>consider</w:t>
            </w:r>
            <w:proofErr w:type="spellEnd"/>
            <w:r w:rsidRPr="00FC0274">
              <w:rPr>
                <w:bCs/>
              </w:rPr>
              <w:t xml:space="preserve"> </w:t>
            </w:r>
            <w:proofErr w:type="spellStart"/>
            <w:r w:rsidRPr="00FC0274">
              <w:rPr>
                <w:bCs/>
              </w:rPr>
              <w:t>the</w:t>
            </w:r>
            <w:proofErr w:type="spellEnd"/>
            <w:r w:rsidRPr="00FC0274">
              <w:rPr>
                <w:bCs/>
              </w:rPr>
              <w:t xml:space="preserve"> </w:t>
            </w:r>
            <w:proofErr w:type="spellStart"/>
            <w:r w:rsidRPr="00FC0274">
              <w:rPr>
                <w:bCs/>
              </w:rPr>
              <w:t>information</w:t>
            </w:r>
            <w:proofErr w:type="spellEnd"/>
            <w:r w:rsidRPr="00FC0274">
              <w:rPr>
                <w:bCs/>
              </w:rPr>
              <w:t>.</w:t>
            </w:r>
          </w:p>
          <w:p w14:paraId="429CAC5A" w14:textId="77777777" w:rsidR="00FC0274" w:rsidRPr="00FC0274" w:rsidRDefault="00FC0274" w:rsidP="00FC0274">
            <w:pPr>
              <w:pStyle w:val="a4"/>
              <w:numPr>
                <w:ilvl w:val="0"/>
                <w:numId w:val="3"/>
              </w:numPr>
              <w:tabs>
                <w:tab w:val="left" w:pos="345"/>
                <w:tab w:val="left" w:pos="567"/>
                <w:tab w:val="left" w:pos="851"/>
              </w:tabs>
              <w:ind w:left="0" w:firstLine="0"/>
              <w:jc w:val="both"/>
              <w:rPr>
                <w:bCs/>
                <w:lang w:val="en-US"/>
              </w:rPr>
            </w:pPr>
            <w:r w:rsidRPr="00FC0274">
              <w:rPr>
                <w:bCs/>
                <w:lang w:val="en-US"/>
              </w:rPr>
              <w:t xml:space="preserve">In the module “Registration of students for disciplines”, provide the opportunity to register for the Minor program. </w:t>
            </w:r>
          </w:p>
          <w:p w14:paraId="0F8CE0A0" w14:textId="77777777" w:rsidR="00FC0274" w:rsidRPr="00FC0274" w:rsidRDefault="00FC0274" w:rsidP="00FC0274">
            <w:pPr>
              <w:pStyle w:val="a4"/>
              <w:tabs>
                <w:tab w:val="left" w:pos="345"/>
                <w:tab w:val="left" w:pos="567"/>
                <w:tab w:val="left" w:pos="851"/>
              </w:tabs>
              <w:ind w:left="0"/>
              <w:jc w:val="both"/>
              <w:rPr>
                <w:bCs/>
                <w:i/>
                <w:iCs/>
                <w:lang w:val="en-US"/>
              </w:rPr>
            </w:pPr>
            <w:r w:rsidRPr="00FC0274">
              <w:rPr>
                <w:bCs/>
                <w:i/>
                <w:iCs/>
                <w:lang w:val="en-US"/>
              </w:rPr>
              <w:t xml:space="preserve">Responsible: </w:t>
            </w:r>
            <w:r w:rsidRPr="00FC0274">
              <w:rPr>
                <w:i/>
                <w:iCs/>
                <w:lang w:val="en-US"/>
              </w:rPr>
              <w:t>Department of Information Technology</w:t>
            </w:r>
            <w:r w:rsidRPr="00FC0274">
              <w:rPr>
                <w:bCs/>
                <w:i/>
                <w:iCs/>
                <w:lang w:val="en-US"/>
              </w:rPr>
              <w:t xml:space="preserve">. </w:t>
            </w:r>
          </w:p>
          <w:p w14:paraId="2A920B21" w14:textId="77777777" w:rsidR="00FC0274" w:rsidRPr="00FC0274" w:rsidRDefault="00FC0274" w:rsidP="00FC0274">
            <w:pPr>
              <w:pStyle w:val="a4"/>
              <w:tabs>
                <w:tab w:val="left" w:pos="345"/>
                <w:tab w:val="left" w:pos="567"/>
                <w:tab w:val="left" w:pos="851"/>
              </w:tabs>
              <w:ind w:left="0"/>
              <w:jc w:val="both"/>
              <w:rPr>
                <w:bCs/>
                <w:lang w:val="en-US"/>
              </w:rPr>
            </w:pPr>
            <w:r w:rsidRPr="00FC0274">
              <w:rPr>
                <w:bCs/>
                <w:i/>
                <w:iCs/>
                <w:lang w:val="en-US"/>
              </w:rPr>
              <w:t xml:space="preserve">Term: </w:t>
            </w:r>
            <w:proofErr w:type="spellStart"/>
            <w:r w:rsidRPr="00FC0274">
              <w:rPr>
                <w:bCs/>
                <w:i/>
                <w:iCs/>
              </w:rPr>
              <w:t>until</w:t>
            </w:r>
            <w:proofErr w:type="spellEnd"/>
            <w:r w:rsidRPr="00FC0274">
              <w:rPr>
                <w:bCs/>
                <w:i/>
                <w:iCs/>
              </w:rPr>
              <w:t xml:space="preserve"> </w:t>
            </w:r>
            <w:proofErr w:type="spellStart"/>
            <w:r w:rsidRPr="00FC0274">
              <w:rPr>
                <w:bCs/>
                <w:i/>
                <w:iCs/>
              </w:rPr>
              <w:t>March</w:t>
            </w:r>
            <w:proofErr w:type="spellEnd"/>
            <w:r w:rsidRPr="00FC0274">
              <w:rPr>
                <w:bCs/>
                <w:i/>
                <w:iCs/>
              </w:rPr>
              <w:t xml:space="preserve"> 15, 2024</w:t>
            </w:r>
            <w:r w:rsidRPr="00FC0274">
              <w:rPr>
                <w:bCs/>
                <w:lang w:val="en-US"/>
              </w:rPr>
              <w:t>.</w:t>
            </w:r>
          </w:p>
          <w:p w14:paraId="3FC1C2E3" w14:textId="77777777" w:rsidR="00FC0274" w:rsidRPr="00FC0274" w:rsidRDefault="00FC0274" w:rsidP="00FC0274">
            <w:pPr>
              <w:pStyle w:val="a4"/>
              <w:numPr>
                <w:ilvl w:val="0"/>
                <w:numId w:val="3"/>
              </w:numPr>
              <w:tabs>
                <w:tab w:val="left" w:pos="345"/>
                <w:tab w:val="left" w:pos="567"/>
                <w:tab w:val="left" w:pos="851"/>
              </w:tabs>
              <w:ind w:left="0" w:firstLine="0"/>
              <w:jc w:val="both"/>
              <w:rPr>
                <w:bCs/>
              </w:rPr>
            </w:pPr>
            <w:r w:rsidRPr="00FC0274">
              <w:rPr>
                <w:bCs/>
              </w:rPr>
              <w:t xml:space="preserve">Внести на рассмотрение шаблон бланка диплома с указанием программы </w:t>
            </w:r>
            <w:proofErr w:type="spellStart"/>
            <w:r w:rsidRPr="00FC0274">
              <w:rPr>
                <w:bCs/>
              </w:rPr>
              <w:t>Minor</w:t>
            </w:r>
            <w:proofErr w:type="spellEnd"/>
          </w:p>
          <w:p w14:paraId="2A916599" w14:textId="001F115D" w:rsidR="00D823AC" w:rsidRPr="00FC0274" w:rsidRDefault="00FC0274" w:rsidP="00FC0274">
            <w:pPr>
              <w:tabs>
                <w:tab w:val="left" w:pos="345"/>
                <w:tab w:val="left" w:pos="567"/>
                <w:tab w:val="left" w:pos="851"/>
              </w:tabs>
              <w:jc w:val="both"/>
              <w:rPr>
                <w:rFonts w:ascii="Times New Roman" w:hAnsi="Times New Roman" w:cs="Times New Roman"/>
                <w:bCs/>
                <w:i/>
                <w:iCs/>
                <w:sz w:val="24"/>
                <w:szCs w:val="24"/>
              </w:rPr>
            </w:pPr>
            <w:r w:rsidRPr="00FC0274">
              <w:rPr>
                <w:rFonts w:ascii="Times New Roman" w:hAnsi="Times New Roman" w:cs="Times New Roman"/>
                <w:bCs/>
                <w:i/>
                <w:iCs/>
                <w:sz w:val="24"/>
                <w:szCs w:val="24"/>
              </w:rPr>
              <w:t xml:space="preserve">Responsible: Academic </w:t>
            </w:r>
            <w:proofErr w:type="spellStart"/>
            <w:proofErr w:type="gramStart"/>
            <w:r w:rsidRPr="00FC0274">
              <w:rPr>
                <w:rFonts w:ascii="Times New Roman" w:hAnsi="Times New Roman" w:cs="Times New Roman"/>
                <w:bCs/>
                <w:i/>
                <w:iCs/>
                <w:sz w:val="24"/>
                <w:szCs w:val="24"/>
              </w:rPr>
              <w:t>department.Term</w:t>
            </w:r>
            <w:proofErr w:type="spellEnd"/>
            <w:proofErr w:type="gramEnd"/>
            <w:r w:rsidRPr="00FC0274">
              <w:rPr>
                <w:rFonts w:ascii="Times New Roman" w:hAnsi="Times New Roman" w:cs="Times New Roman"/>
                <w:bCs/>
                <w:i/>
                <w:iCs/>
                <w:sz w:val="24"/>
                <w:szCs w:val="24"/>
              </w:rPr>
              <w:t>: until 08.12.2023</w:t>
            </w:r>
          </w:p>
        </w:tc>
      </w:tr>
    </w:tbl>
    <w:p w14:paraId="3B57EFBE" w14:textId="77777777" w:rsidR="00D823AC" w:rsidRPr="00FC0274" w:rsidRDefault="00D823AC"/>
    <w:sectPr w:rsidR="00D823AC" w:rsidRPr="00FC0274" w:rsidSect="00D823A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492"/>
    <w:multiLevelType w:val="hybridMultilevel"/>
    <w:tmpl w:val="44B8A2E0"/>
    <w:lvl w:ilvl="0" w:tplc="813EA73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38315F21"/>
    <w:multiLevelType w:val="hybridMultilevel"/>
    <w:tmpl w:val="8EE6B51A"/>
    <w:lvl w:ilvl="0" w:tplc="6332D582">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AFD4539"/>
    <w:multiLevelType w:val="hybridMultilevel"/>
    <w:tmpl w:val="01A098AE"/>
    <w:lvl w:ilvl="0" w:tplc="47304BC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44E417CE"/>
    <w:multiLevelType w:val="hybridMultilevel"/>
    <w:tmpl w:val="5E926AA8"/>
    <w:lvl w:ilvl="0" w:tplc="C8EC88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B362508"/>
    <w:multiLevelType w:val="hybridMultilevel"/>
    <w:tmpl w:val="02DE78B8"/>
    <w:lvl w:ilvl="0" w:tplc="F47E41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474180651">
    <w:abstractNumId w:val="0"/>
  </w:num>
  <w:num w:numId="2" w16cid:durableId="1426540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2923028">
    <w:abstractNumId w:val="1"/>
  </w:num>
  <w:num w:numId="4" w16cid:durableId="1487356975">
    <w:abstractNumId w:val="4"/>
  </w:num>
  <w:num w:numId="5" w16cid:durableId="1613587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AC"/>
    <w:rsid w:val="00303BD1"/>
    <w:rsid w:val="00565583"/>
    <w:rsid w:val="006C2C27"/>
    <w:rsid w:val="00D823AC"/>
    <w:rsid w:val="00FC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B9B8"/>
  <w15:chartTrackingRefBased/>
  <w15:docId w15:val="{80F12EE6-E512-40F9-85F4-DF09EFD3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3AC"/>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3A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1"/>
    <w:locked/>
    <w:rsid w:val="00D823AC"/>
    <w:rPr>
      <w:rFonts w:ascii="Calibri" w:eastAsia="Calibri" w:hAnsi="Calibri" w:cs="Times New Roman"/>
    </w:rPr>
  </w:style>
  <w:style w:type="paragraph" w:customStyle="1" w:styleId="1">
    <w:name w:val="Без интервала1"/>
    <w:link w:val="NoSpacingChar"/>
    <w:qFormat/>
    <w:rsid w:val="00D823AC"/>
    <w:pPr>
      <w:spacing w:after="0" w:line="240" w:lineRule="auto"/>
    </w:pPr>
    <w:rPr>
      <w:rFonts w:ascii="Calibri" w:eastAsia="Calibri" w:hAnsi="Calibri" w:cs="Times New Roman"/>
    </w:rPr>
  </w:style>
  <w:style w:type="paragraph" w:styleId="a4">
    <w:name w:val="List Paragraph"/>
    <w:aliases w:val="без абзаца,List Paragraph,маркированный,Heading1,Colorful List - Accent 11,Bullet List,FooterText,numbered,Средняя сетка 1 - Акцент 21,Colorful List - Accent 11CxSpLast,H1-1,Заголовок3,Содержание. 2 уровень,AC List 01,Абзац,Bullet Number"/>
    <w:basedOn w:val="a"/>
    <w:link w:val="a5"/>
    <w:uiPriority w:val="34"/>
    <w:qFormat/>
    <w:rsid w:val="00D823AC"/>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5">
    <w:name w:val="Абзац списка Знак"/>
    <w:aliases w:val="без абзаца Знак,List Paragraph Знак,маркированный Знак,Heading1 Знак,Colorful List - Accent 11 Знак,Bullet List Знак,FooterText Знак,numbered Знак,Средняя сетка 1 - Акцент 21 Знак,Colorful List - Accent 11CxSpLast Знак,H1-1 Знак"/>
    <w:link w:val="a4"/>
    <w:uiPriority w:val="34"/>
    <w:qFormat/>
    <w:locked/>
    <w:rsid w:val="00D823AC"/>
    <w:rPr>
      <w:rFonts w:ascii="Times New Roman" w:eastAsia="Times New Roman" w:hAnsi="Times New Roman" w:cs="Times New Roman"/>
      <w:kern w:val="0"/>
      <w:sz w:val="24"/>
      <w:szCs w:val="24"/>
      <w:lang w:eastAsia="ru-RU"/>
      <w14:ligatures w14:val="none"/>
    </w:rPr>
  </w:style>
  <w:style w:type="paragraph" w:styleId="a6">
    <w:name w:val="Normal (Web)"/>
    <w:basedOn w:val="a"/>
    <w:uiPriority w:val="99"/>
    <w:unhideWhenUsed/>
    <w:rsid w:val="00D823A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C027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FC0274"/>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93387">
      <w:bodyDiv w:val="1"/>
      <w:marLeft w:val="0"/>
      <w:marRight w:val="0"/>
      <w:marTop w:val="0"/>
      <w:marBottom w:val="0"/>
      <w:divBdr>
        <w:top w:val="none" w:sz="0" w:space="0" w:color="auto"/>
        <w:left w:val="none" w:sz="0" w:space="0" w:color="auto"/>
        <w:bottom w:val="none" w:sz="0" w:space="0" w:color="auto"/>
        <w:right w:val="none" w:sz="0" w:space="0" w:color="auto"/>
      </w:divBdr>
    </w:div>
    <w:div w:id="12354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 Yesmagulova</dc:creator>
  <cp:keywords/>
  <dc:description/>
  <cp:lastModifiedBy>Nurgul Yesmagulova</cp:lastModifiedBy>
  <cp:revision>3</cp:revision>
  <dcterms:created xsi:type="dcterms:W3CDTF">2024-01-04T11:48:00Z</dcterms:created>
  <dcterms:modified xsi:type="dcterms:W3CDTF">2024-01-04T11:50:00Z</dcterms:modified>
</cp:coreProperties>
</file>